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BF" w:rsidRPr="006E5ACF" w:rsidRDefault="00E811BF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Національний технічний університет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E811BF" w:rsidRPr="006E5ACF" w:rsidRDefault="00E811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E811BF" w:rsidRPr="00FC0BA6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FC0BA6">
        <w:rPr>
          <w:b/>
          <w:bCs/>
          <w:sz w:val="28"/>
          <w:szCs w:val="28"/>
        </w:rPr>
        <w:t xml:space="preserve">Кафедра </w:t>
      </w:r>
      <w:r w:rsidR="00FC0BA6" w:rsidRPr="00FC0BA6">
        <w:rPr>
          <w:b/>
          <w:bCs/>
          <w:sz w:val="28"/>
          <w:szCs w:val="28"/>
        </w:rPr>
        <w:t>управління на транспорті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E811BF" w:rsidRPr="006E5ACF" w:rsidTr="00BD4E68">
        <w:trPr>
          <w:trHeight w:val="1458"/>
        </w:trPr>
        <w:tc>
          <w:tcPr>
            <w:tcW w:w="4928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</w:p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  <w:r w:rsidRPr="00BD4E68">
              <w:rPr>
                <w:b/>
                <w:sz w:val="22"/>
                <w:szCs w:val="22"/>
              </w:rPr>
              <w:t>«</w:t>
            </w:r>
            <w:r w:rsidRPr="00BD4E68">
              <w:rPr>
                <w:b/>
              </w:rPr>
              <w:t>ЗАТВЕРДЖЕНО»</w:t>
            </w:r>
          </w:p>
          <w:p w:rsidR="00E811BF" w:rsidRPr="00BD4E68" w:rsidRDefault="00E811BF" w:rsidP="00BD4E68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BD4E68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E811BF" w:rsidRPr="00BD4E68" w:rsidRDefault="00FC0BA6" w:rsidP="00C1300F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Таран І</w:t>
            </w:r>
            <w:r w:rsidR="00E811BF" w:rsidRPr="006E5ACF">
              <w:t>.О. _________ «____»____________201</w:t>
            </w:r>
            <w:r w:rsidR="00C1300F">
              <w:rPr>
                <w:lang w:val="ru-RU"/>
              </w:rPr>
              <w:t>9</w:t>
            </w:r>
            <w:r w:rsidR="00E811BF" w:rsidRPr="006E5ACF">
              <w:t xml:space="preserve"> року</w:t>
            </w:r>
          </w:p>
        </w:tc>
      </w:tr>
    </w:tbl>
    <w:p w:rsidR="00E811BF" w:rsidRPr="006E5ACF" w:rsidRDefault="00E811BF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E811BF" w:rsidRPr="00814267" w:rsidRDefault="00E811BF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814267">
        <w:rPr>
          <w:b w:val="0"/>
          <w:color w:val="000000"/>
          <w:sz w:val="28"/>
          <w:szCs w:val="28"/>
        </w:rPr>
        <w:t>«</w:t>
      </w:r>
      <w:r w:rsidR="00ED4C0E" w:rsidRPr="00C1300F">
        <w:rPr>
          <w:sz w:val="28"/>
          <w:szCs w:val="28"/>
        </w:rPr>
        <w:t>Логістика</w:t>
      </w:r>
      <w:r w:rsidRPr="00814267">
        <w:rPr>
          <w:b w:val="0"/>
          <w:sz w:val="28"/>
          <w:szCs w:val="28"/>
        </w:rPr>
        <w:t>»</w:t>
      </w:r>
    </w:p>
    <w:p w:rsidR="00E811BF" w:rsidRPr="006E5ACF" w:rsidRDefault="00E811BF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2013" w:type="dxa"/>
        <w:tblLook w:val="00A0" w:firstRow="1" w:lastRow="0" w:firstColumn="1" w:lastColumn="0" w:noHBand="0" w:noVBand="0"/>
      </w:tblPr>
      <w:tblGrid>
        <w:gridCol w:w="3118"/>
        <w:gridCol w:w="3544"/>
      </w:tblGrid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Галузь знань …………….…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 xml:space="preserve">27 </w:t>
            </w:r>
            <w:r w:rsidR="003B614E">
              <w:t>Транспорт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>275 Транспортні технології (на автомобільному транспорті)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Освітній рівень…………….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814267" w:rsidP="00E16396">
            <w:r>
              <w:t>бакалавр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A63728">
            <w:r>
              <w:t>Статус</w:t>
            </w:r>
            <w:r w:rsidRPr="006E5ACF">
              <w:t xml:space="preserve"> </w:t>
            </w:r>
            <w:r>
              <w:t>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B53A59" w:rsidP="00E16396">
            <w:r>
              <w:t>фахова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F679D9" w:rsidRDefault="00E811BF" w:rsidP="00A63728">
            <w:r w:rsidRPr="00F679D9"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F679D9" w:rsidRDefault="00ED4C0E" w:rsidP="00ED4C0E">
            <w:r>
              <w:t>6</w:t>
            </w:r>
            <w:r w:rsidR="00E811BF" w:rsidRPr="00F679D9">
              <w:t xml:space="preserve"> </w:t>
            </w:r>
            <w:r>
              <w:t>кредитів</w:t>
            </w:r>
            <w:r w:rsidR="00E811BF" w:rsidRPr="00F679D9">
              <w:t xml:space="preserve"> ЕСТS (</w:t>
            </w:r>
            <w:r>
              <w:t>18</w:t>
            </w:r>
            <w:r w:rsidR="00F679D9" w:rsidRPr="00F679D9">
              <w:t>0</w:t>
            </w:r>
            <w:r w:rsidR="00E811BF" w:rsidRPr="00F679D9">
              <w:t xml:space="preserve"> годин)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6E5ACF" w:rsidRDefault="00E811BF" w:rsidP="004762A7">
            <w:r w:rsidRPr="006E5ACF">
              <w:t>Форма підсумкового контролю …………………..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E811BF" w:rsidP="004762A7"/>
          <w:p w:rsidR="00E811BF" w:rsidRPr="003A6673" w:rsidRDefault="00ED4C0E" w:rsidP="004762A7">
            <w:r>
              <w:t>Іспит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274A96" w:rsidRDefault="00E811BF" w:rsidP="004762A7">
            <w:r w:rsidRPr="00274A96">
              <w:t>Термін викладання</w:t>
            </w:r>
            <w:r>
              <w:t xml:space="preserve">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ED4C0E" w:rsidP="004762A7">
            <w:r>
              <w:rPr>
                <w:sz w:val="22"/>
                <w:szCs w:val="22"/>
              </w:rPr>
              <w:t>9, 10</w:t>
            </w:r>
            <w:r w:rsidR="003A6673" w:rsidRPr="003A6673">
              <w:rPr>
                <w:sz w:val="22"/>
                <w:szCs w:val="22"/>
              </w:rPr>
              <w:t xml:space="preserve"> чверть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українська</w:t>
            </w:r>
          </w:p>
        </w:tc>
      </w:tr>
    </w:tbl>
    <w:p w:rsidR="00E811BF" w:rsidRPr="006E5ACF" w:rsidRDefault="00E811BF" w:rsidP="00C323D7">
      <w:pPr>
        <w:spacing w:before="80"/>
      </w:pPr>
    </w:p>
    <w:p w:rsidR="00E811BF" w:rsidRPr="006E5ACF" w:rsidRDefault="00E811BF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ED4C0E">
        <w:rPr>
          <w:u w:val="single"/>
          <w:lang w:val="ru-RU"/>
        </w:rPr>
        <w:t>ас</w:t>
      </w:r>
      <w:r w:rsidR="00FC0BA6" w:rsidRPr="00FC0BA6">
        <w:rPr>
          <w:u w:val="single"/>
        </w:rPr>
        <w:t>.</w:t>
      </w:r>
      <w:r w:rsidR="00ED4C0E">
        <w:rPr>
          <w:u w:val="single"/>
        </w:rPr>
        <w:t xml:space="preserve"> Весела М.А.</w:t>
      </w:r>
      <w:r w:rsidRPr="006E5ACF">
        <w:t xml:space="preserve"> </w:t>
      </w:r>
    </w:p>
    <w:p w:rsidR="00E811BF" w:rsidRPr="006E5ACF" w:rsidRDefault="00E811BF" w:rsidP="00C323D7">
      <w:pPr>
        <w:jc w:val="center"/>
        <w:rPr>
          <w:i/>
          <w:sz w:val="16"/>
          <w:szCs w:val="16"/>
        </w:rPr>
      </w:pP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E811BF" w:rsidRPr="00C1300F" w:rsidRDefault="00E811BF" w:rsidP="00E50E08">
      <w:pPr>
        <w:tabs>
          <w:tab w:val="left" w:pos="4253"/>
        </w:tabs>
        <w:jc w:val="center"/>
        <w:rPr>
          <w:sz w:val="28"/>
          <w:szCs w:val="28"/>
          <w:lang w:val="ru-RU"/>
        </w:rPr>
      </w:pPr>
      <w:r w:rsidRPr="006E5ACF">
        <w:rPr>
          <w:bCs/>
          <w:sz w:val="28"/>
          <w:szCs w:val="28"/>
        </w:rPr>
        <w:t>201</w:t>
      </w:r>
      <w:r w:rsidR="00C1300F">
        <w:rPr>
          <w:bCs/>
          <w:sz w:val="28"/>
          <w:szCs w:val="28"/>
          <w:lang w:val="ru-RU"/>
        </w:rPr>
        <w:t>9</w:t>
      </w:r>
    </w:p>
    <w:p w:rsidR="00E811BF" w:rsidRPr="006E5ACF" w:rsidRDefault="00E811BF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E811BF" w:rsidRPr="00D857BB" w:rsidRDefault="00E811BF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ED4C0E">
        <w:rPr>
          <w:b w:val="0"/>
          <w:sz w:val="28"/>
          <w:szCs w:val="28"/>
        </w:rPr>
        <w:t>Логістика</w:t>
      </w:r>
      <w:r w:rsidRPr="00D857BB">
        <w:rPr>
          <w:b w:val="0"/>
          <w:sz w:val="28"/>
          <w:szCs w:val="28"/>
        </w:rPr>
        <w:t xml:space="preserve">» для </w:t>
      </w:r>
      <w:r w:rsidR="00814267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FC0BA6" w:rsidRPr="00FC0BA6">
        <w:rPr>
          <w:b w:val="0"/>
          <w:sz w:val="28"/>
          <w:szCs w:val="28"/>
        </w:rPr>
        <w:t>275 Транспортні технології (на автомобільному транспорті)</w:t>
      </w:r>
      <w:r w:rsidRPr="00D857BB">
        <w:rPr>
          <w:b w:val="0"/>
          <w:sz w:val="28"/>
          <w:szCs w:val="28"/>
        </w:rPr>
        <w:t xml:space="preserve"> / </w:t>
      </w:r>
      <w:r w:rsidRPr="00FC0BA6">
        <w:rPr>
          <w:b w:val="0"/>
          <w:sz w:val="28"/>
          <w:szCs w:val="28"/>
        </w:rPr>
        <w:t xml:space="preserve">Нац. техн. ун-т. «Дніпровська політехніка», каф. </w:t>
      </w:r>
      <w:r w:rsidR="0021300A">
        <w:rPr>
          <w:b w:val="0"/>
          <w:sz w:val="28"/>
          <w:szCs w:val="28"/>
        </w:rPr>
        <w:t>управління  на транспорті</w:t>
      </w:r>
      <w:r w:rsidRPr="00FC0BA6">
        <w:rPr>
          <w:b w:val="0"/>
          <w:sz w:val="28"/>
          <w:szCs w:val="28"/>
        </w:rPr>
        <w:t>. – Д. : НТУ «ДП»,</w:t>
      </w:r>
      <w:r w:rsidRPr="00D857BB">
        <w:rPr>
          <w:b w:val="0"/>
          <w:sz w:val="28"/>
          <w:szCs w:val="28"/>
        </w:rPr>
        <w:t xml:space="preserve"> 201</w:t>
      </w:r>
      <w:r w:rsidR="00C1300F">
        <w:rPr>
          <w:b w:val="0"/>
          <w:sz w:val="28"/>
          <w:szCs w:val="28"/>
          <w:lang w:val="ru-RU"/>
        </w:rPr>
        <w:t>9</w:t>
      </w:r>
      <w:r w:rsidRPr="003A6673">
        <w:rPr>
          <w:b w:val="0"/>
          <w:sz w:val="28"/>
          <w:szCs w:val="28"/>
        </w:rPr>
        <w:t xml:space="preserve">. </w:t>
      </w:r>
      <w:r w:rsidRPr="003A6673">
        <w:rPr>
          <w:rFonts w:eastAsia="TimesNewRoman"/>
          <w:b w:val="0"/>
          <w:sz w:val="28"/>
          <w:szCs w:val="28"/>
        </w:rPr>
        <w:t xml:space="preserve">– </w:t>
      </w:r>
      <w:r w:rsidRPr="000E6D01">
        <w:rPr>
          <w:rFonts w:eastAsia="TimesNewRoman"/>
          <w:b w:val="0"/>
          <w:sz w:val="28"/>
          <w:szCs w:val="28"/>
        </w:rPr>
        <w:t>1</w:t>
      </w:r>
      <w:r w:rsidR="001862EE">
        <w:rPr>
          <w:rFonts w:eastAsia="TimesNewRoman"/>
          <w:b w:val="0"/>
          <w:sz w:val="28"/>
          <w:szCs w:val="28"/>
        </w:rPr>
        <w:t>2</w:t>
      </w:r>
      <w:r w:rsidRPr="003A6673">
        <w:rPr>
          <w:rFonts w:eastAsia="TimesNewRoman"/>
          <w:b w:val="0"/>
          <w:sz w:val="28"/>
          <w:szCs w:val="28"/>
        </w:rPr>
        <w:t xml:space="preserve"> с.</w:t>
      </w:r>
    </w:p>
    <w:p w:rsidR="00E811BF" w:rsidRPr="00225B42" w:rsidRDefault="00E811BF" w:rsidP="00225B42">
      <w:pPr>
        <w:pStyle w:val="21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r w:rsidR="00ED4C0E">
        <w:rPr>
          <w:sz w:val="28"/>
          <w:szCs w:val="28"/>
        </w:rPr>
        <w:t>Весела М.А</w:t>
      </w:r>
      <w:r w:rsidR="00377E82">
        <w:rPr>
          <w:sz w:val="28"/>
          <w:szCs w:val="28"/>
        </w:rPr>
        <w:t>.</w:t>
      </w:r>
    </w:p>
    <w:p w:rsidR="00E811BF" w:rsidRPr="004446AF" w:rsidRDefault="00E811BF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E811BF" w:rsidRPr="004446AF" w:rsidRDefault="00E811BF" w:rsidP="00225B42">
      <w:pPr>
        <w:pStyle w:val="21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E811BF" w:rsidRPr="004446AF" w:rsidRDefault="00E811BF" w:rsidP="00D7349E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E811B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E811BF" w:rsidRDefault="00E811BF" w:rsidP="00225B42">
      <w:pPr>
        <w:pStyle w:val="21"/>
        <w:suppressLineNumbers/>
        <w:suppressAutoHyphens/>
        <w:ind w:left="567"/>
        <w:jc w:val="both"/>
        <w:rPr>
          <w:sz w:val="28"/>
          <w:szCs w:val="28"/>
        </w:rPr>
      </w:pPr>
    </w:p>
    <w:p w:rsidR="00E811BF" w:rsidRPr="00225B42" w:rsidRDefault="00E811BF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E811BF" w:rsidRDefault="00E811BF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E811BF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E811BF" w:rsidRPr="00225B42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Погоджено рішенням методичної комісії спеціальності </w:t>
      </w:r>
      <w:r w:rsidR="00FC0BA6" w:rsidRPr="00FC0BA6">
        <w:rPr>
          <w:sz w:val="28"/>
          <w:szCs w:val="28"/>
        </w:rPr>
        <w:t>275 Транспортні технології (на автомобільному транспорті)</w:t>
      </w:r>
      <w:r w:rsidRPr="00225B42">
        <w:rPr>
          <w:sz w:val="28"/>
          <w:szCs w:val="28"/>
        </w:rPr>
        <w:t xml:space="preserve"> (протокол № </w:t>
      </w:r>
      <w:r w:rsidR="00FC0BA6">
        <w:rPr>
          <w:sz w:val="28"/>
          <w:szCs w:val="28"/>
        </w:rPr>
        <w:t>___</w:t>
      </w:r>
      <w:r w:rsidRPr="00225B42">
        <w:rPr>
          <w:sz w:val="28"/>
          <w:szCs w:val="28"/>
        </w:rPr>
        <w:t xml:space="preserve"> від </w:t>
      </w:r>
      <w:r w:rsidR="00FC0BA6">
        <w:rPr>
          <w:sz w:val="28"/>
          <w:szCs w:val="28"/>
        </w:rPr>
        <w:t xml:space="preserve">_____ </w:t>
      </w:r>
      <w:r w:rsidRPr="00225B42">
        <w:rPr>
          <w:sz w:val="28"/>
          <w:szCs w:val="28"/>
        </w:rPr>
        <w:t>201</w:t>
      </w:r>
      <w:r w:rsidR="00C1300F">
        <w:rPr>
          <w:sz w:val="28"/>
          <w:szCs w:val="28"/>
          <w:lang w:val="ru-RU"/>
        </w:rPr>
        <w:t>9</w:t>
      </w:r>
      <w:r w:rsidRPr="00225B42">
        <w:rPr>
          <w:sz w:val="28"/>
          <w:szCs w:val="28"/>
        </w:rPr>
        <w:t>).</w:t>
      </w:r>
    </w:p>
    <w:p w:rsidR="00E811BF" w:rsidRPr="006E5ACF" w:rsidRDefault="00E811BF" w:rsidP="00225B42">
      <w:pPr>
        <w:suppressLineNumbers/>
        <w:suppressAutoHyphens/>
        <w:autoSpaceDE w:val="0"/>
        <w:autoSpaceDN w:val="0"/>
        <w:spacing w:after="120"/>
        <w:ind w:firstLine="561"/>
        <w:jc w:val="both"/>
        <w:rPr>
          <w:sz w:val="28"/>
          <w:szCs w:val="28"/>
        </w:rPr>
      </w:pPr>
      <w:r w:rsidRPr="00D857BB">
        <w:rPr>
          <w:sz w:val="28"/>
          <w:szCs w:val="28"/>
        </w:rPr>
        <w:t xml:space="preserve">Рекомендовано до видання редакційною радою </w:t>
      </w:r>
      <w:r>
        <w:rPr>
          <w:sz w:val="28"/>
          <w:szCs w:val="28"/>
        </w:rPr>
        <w:t>НТУ</w:t>
      </w:r>
      <w:r w:rsidRPr="00D857BB">
        <w:rPr>
          <w:sz w:val="28"/>
          <w:szCs w:val="28"/>
        </w:rPr>
        <w:t xml:space="preserve"> «</w:t>
      </w:r>
      <w:r>
        <w:rPr>
          <w:sz w:val="28"/>
          <w:szCs w:val="28"/>
        </w:rPr>
        <w:t>ДП</w:t>
      </w:r>
      <w:r w:rsidRPr="00D857BB">
        <w:rPr>
          <w:sz w:val="28"/>
          <w:szCs w:val="28"/>
        </w:rPr>
        <w:t>» (протокол № </w:t>
      </w:r>
      <w:r w:rsidR="00FC0BA6">
        <w:rPr>
          <w:sz w:val="28"/>
          <w:szCs w:val="28"/>
        </w:rPr>
        <w:t>__</w:t>
      </w:r>
      <w:r w:rsidRPr="00D857BB">
        <w:rPr>
          <w:sz w:val="28"/>
          <w:szCs w:val="28"/>
        </w:rPr>
        <w:t xml:space="preserve"> від </w:t>
      </w:r>
      <w:r w:rsidR="00FC0BA6">
        <w:rPr>
          <w:sz w:val="28"/>
          <w:szCs w:val="28"/>
        </w:rPr>
        <w:t xml:space="preserve">_______ </w:t>
      </w:r>
      <w:r w:rsidRPr="00D857BB">
        <w:rPr>
          <w:sz w:val="28"/>
          <w:szCs w:val="28"/>
        </w:rPr>
        <w:t>201</w:t>
      </w:r>
      <w:r w:rsidR="00C1300F">
        <w:rPr>
          <w:sz w:val="28"/>
          <w:szCs w:val="28"/>
          <w:lang w:val="ru-RU"/>
        </w:rPr>
        <w:t>9</w:t>
      </w:r>
      <w:r w:rsidRPr="00D857BB">
        <w:rPr>
          <w:sz w:val="28"/>
          <w:szCs w:val="28"/>
        </w:rPr>
        <w:t>).</w:t>
      </w:r>
    </w:p>
    <w:p w:rsidR="00E811BF" w:rsidRPr="006E5ACF" w:rsidRDefault="00E811BF" w:rsidP="00C41E4D">
      <w:pPr>
        <w:ind w:firstLine="567"/>
        <w:jc w:val="both"/>
        <w:rPr>
          <w:sz w:val="28"/>
          <w:szCs w:val="28"/>
        </w:rPr>
      </w:pPr>
    </w:p>
    <w:p w:rsidR="00E811BF" w:rsidRPr="006E5ACF" w:rsidRDefault="00E811BF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E811BF" w:rsidRPr="00891C29" w:rsidRDefault="00E811BF" w:rsidP="00891C29">
      <w:pPr>
        <w:pStyle w:val="1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91C29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E811BF" w:rsidRPr="009779FB" w:rsidRDefault="00E811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9779FB">
        <w:rPr>
          <w:sz w:val="28"/>
          <w:szCs w:val="28"/>
        </w:rPr>
        <w:fldChar w:fldCharType="begin"/>
      </w:r>
      <w:r w:rsidRPr="009779FB">
        <w:rPr>
          <w:sz w:val="28"/>
          <w:szCs w:val="28"/>
        </w:rPr>
        <w:instrText xml:space="preserve"> TOC \o "1-3" \h \z \u </w:instrText>
      </w:r>
      <w:r w:rsidRPr="009779FB">
        <w:rPr>
          <w:sz w:val="28"/>
          <w:szCs w:val="28"/>
        </w:rPr>
        <w:fldChar w:fldCharType="separate"/>
      </w:r>
      <w:hyperlink w:anchor="_Toc523035521" w:history="1">
        <w:r w:rsidRPr="009779FB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9779FB">
          <w:rPr>
            <w:noProof/>
            <w:webHidden/>
            <w:sz w:val="28"/>
            <w:szCs w:val="28"/>
          </w:rPr>
          <w:tab/>
        </w:r>
        <w:r w:rsidRPr="009779FB">
          <w:rPr>
            <w:noProof/>
            <w:webHidden/>
            <w:sz w:val="28"/>
            <w:szCs w:val="28"/>
          </w:rPr>
          <w:fldChar w:fldCharType="begin"/>
        </w:r>
        <w:r w:rsidRPr="009779FB">
          <w:rPr>
            <w:noProof/>
            <w:webHidden/>
            <w:sz w:val="28"/>
            <w:szCs w:val="28"/>
          </w:rPr>
          <w:instrText xml:space="preserve"> PAGEREF _Toc523035521 \h </w:instrText>
        </w:r>
        <w:r w:rsidRPr="009779FB">
          <w:rPr>
            <w:noProof/>
            <w:webHidden/>
            <w:sz w:val="28"/>
            <w:szCs w:val="28"/>
          </w:rPr>
        </w:r>
        <w:r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2" w:history="1">
        <w:r w:rsidR="00E811BF" w:rsidRPr="009779FB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_Toc523035522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3" w:history="1">
        <w:r w:rsidR="00E811BF" w:rsidRPr="009779FB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_Toc523035523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4" w:history="1">
        <w:r w:rsidR="00E811BF" w:rsidRPr="009779FB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_Toc523035524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5" w:history="1">
        <w:r w:rsidR="00E811BF" w:rsidRPr="009779FB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_Toc523035525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6" w:history="1">
        <w:r w:rsidR="00E811BF" w:rsidRPr="009779FB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_Toc523035526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7" w:history="1">
        <w:r w:rsidR="00E811BF" w:rsidRPr="009779FB">
          <w:rPr>
            <w:rStyle w:val="a9"/>
            <w:noProof/>
            <w:sz w:val="28"/>
            <w:szCs w:val="28"/>
          </w:rPr>
          <w:t>6.1 Шкали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_Toc523035527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8" w:history="1">
        <w:r w:rsidR="00E811BF" w:rsidRPr="009779FB">
          <w:rPr>
            <w:rStyle w:val="a9"/>
            <w:noProof/>
            <w:sz w:val="28"/>
            <w:szCs w:val="28"/>
          </w:rPr>
          <w:t>6.2 Засоби та процедури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_Toc523035528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7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9" w:history="1">
        <w:r w:rsidR="00E811BF" w:rsidRPr="009779FB">
          <w:rPr>
            <w:rStyle w:val="a9"/>
            <w:noProof/>
            <w:sz w:val="28"/>
            <w:szCs w:val="28"/>
          </w:rPr>
          <w:t>6.3 Критерії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_Toc523035529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8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0" w:history="1">
        <w:r w:rsidR="00E811BF" w:rsidRPr="009779FB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_Toc523035530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6E5ED8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1" w:history="1">
        <w:r w:rsidR="00E811BF" w:rsidRPr="009779FB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_Toc523035531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727599" w:rsidRDefault="00E811BF" w:rsidP="00C80B71">
      <w:pPr>
        <w:spacing w:after="120"/>
        <w:rPr>
          <w:sz w:val="28"/>
          <w:szCs w:val="28"/>
        </w:rPr>
      </w:pPr>
      <w:r w:rsidRPr="009779FB">
        <w:rPr>
          <w:sz w:val="28"/>
          <w:szCs w:val="28"/>
        </w:rPr>
        <w:fldChar w:fldCharType="end"/>
      </w:r>
    </w:p>
    <w:p w:rsidR="00E811BF" w:rsidRPr="006E5ACF" w:rsidRDefault="00E811BF" w:rsidP="00B94CF1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  <w:bookmarkStart w:id="0" w:name="_Toc523035521"/>
      <w:bookmarkStart w:id="1" w:name="_Hlk497601822"/>
      <w:r w:rsidRPr="00CB4A48">
        <w:rPr>
          <w:b/>
          <w:bCs/>
          <w:color w:val="000000"/>
          <w:sz w:val="28"/>
          <w:szCs w:val="28"/>
        </w:rPr>
        <w:lastRenderedPageBreak/>
        <w:t xml:space="preserve">1 МЕТА НАВЧАЛЬНОЇ </w:t>
      </w:r>
      <w:bookmarkEnd w:id="0"/>
      <w:r w:rsidR="006C6D73" w:rsidRPr="00CB4A48">
        <w:rPr>
          <w:b/>
          <w:bCs/>
          <w:color w:val="000000"/>
          <w:sz w:val="28"/>
          <w:szCs w:val="28"/>
        </w:rPr>
        <w:t>ДИСЦИПЛІНИ</w:t>
      </w:r>
    </w:p>
    <w:p w:rsidR="00E811BF" w:rsidRPr="006E5ACF" w:rsidRDefault="00E811BF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F76471">
        <w:t xml:space="preserve">275 Транспортні технології (на автомобільному транспорті)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>розподіл програмних результатів навчання</w:t>
      </w:r>
      <w:r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</w:t>
      </w:r>
      <w:r w:rsidRPr="006E5ACF">
        <w:rPr>
          <w:spacing w:val="0"/>
          <w:szCs w:val="28"/>
        </w:rPr>
        <w:t xml:space="preserve">о дисципліни </w:t>
      </w:r>
      <w:r w:rsidR="00ED4C0E">
        <w:rPr>
          <w:spacing w:val="0"/>
          <w:szCs w:val="28"/>
        </w:rPr>
        <w:t xml:space="preserve">Ф </w:t>
      </w:r>
      <w:r w:rsidR="00377E82">
        <w:rPr>
          <w:spacing w:val="0"/>
          <w:szCs w:val="28"/>
        </w:rPr>
        <w:t>1</w:t>
      </w:r>
      <w:r w:rsidR="00ED4C0E">
        <w:rPr>
          <w:spacing w:val="0"/>
          <w:szCs w:val="28"/>
        </w:rPr>
        <w:t>4</w:t>
      </w:r>
      <w:r w:rsidRPr="006E5ACF">
        <w:rPr>
          <w:spacing w:val="0"/>
          <w:szCs w:val="28"/>
        </w:rPr>
        <w:t xml:space="preserve"> «</w:t>
      </w:r>
      <w:r w:rsidR="00ED4C0E">
        <w:rPr>
          <w:spacing w:val="0"/>
          <w:szCs w:val="28"/>
        </w:rPr>
        <w:t>Логістика</w:t>
      </w:r>
      <w:r w:rsidRPr="006E5ACF">
        <w:rPr>
          <w:spacing w:val="0"/>
          <w:szCs w:val="28"/>
        </w:rPr>
        <w:t>» віднесен</w:t>
      </w:r>
      <w:r>
        <w:rPr>
          <w:spacing w:val="0"/>
          <w:szCs w:val="28"/>
        </w:rPr>
        <w:t>о</w:t>
      </w:r>
      <w:r w:rsidRPr="006E5ACF">
        <w:rPr>
          <w:spacing w:val="0"/>
          <w:szCs w:val="28"/>
        </w:rPr>
        <w:t xml:space="preserve">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8882"/>
      </w:tblGrid>
      <w:tr w:rsidR="00AF49F3" w:rsidRPr="00D97A1B" w:rsidTr="005157A7">
        <w:trPr>
          <w:tblHeader/>
        </w:trPr>
        <w:tc>
          <w:tcPr>
            <w:tcW w:w="493" w:type="pct"/>
            <w:vMerge w:val="restart"/>
            <w:vAlign w:val="center"/>
          </w:tcPr>
          <w:p w:rsidR="00AF49F3" w:rsidRPr="00D97A1B" w:rsidRDefault="00AF49F3" w:rsidP="005157A7">
            <w:pPr>
              <w:jc w:val="center"/>
              <w:rPr>
                <w:b/>
              </w:rPr>
            </w:pPr>
            <w:r w:rsidRPr="00D97A1B">
              <w:rPr>
                <w:b/>
              </w:rPr>
              <w:t>Шифр</w:t>
            </w:r>
          </w:p>
          <w:p w:rsidR="00AF49F3" w:rsidRPr="00D97A1B" w:rsidRDefault="00AF49F3" w:rsidP="005157A7">
            <w:pPr>
              <w:jc w:val="center"/>
              <w:rPr>
                <w:b/>
              </w:rPr>
            </w:pPr>
            <w:r w:rsidRPr="00D97A1B">
              <w:rPr>
                <w:b/>
              </w:rPr>
              <w:t>ПРН</w:t>
            </w:r>
          </w:p>
        </w:tc>
        <w:tc>
          <w:tcPr>
            <w:tcW w:w="4507" w:type="pct"/>
            <w:vAlign w:val="center"/>
          </w:tcPr>
          <w:p w:rsidR="00AF49F3" w:rsidRPr="00D97A1B" w:rsidRDefault="00AF49F3" w:rsidP="005157A7">
            <w:pPr>
              <w:ind w:right="-5"/>
              <w:jc w:val="center"/>
              <w:rPr>
                <w:b/>
              </w:rPr>
            </w:pPr>
            <w:r w:rsidRPr="00D97A1B">
              <w:rPr>
                <w:b/>
              </w:rPr>
              <w:t>Дисциплінарні результати навчання (ДРН)</w:t>
            </w:r>
          </w:p>
        </w:tc>
      </w:tr>
      <w:tr w:rsidR="00AF49F3" w:rsidRPr="00D97A1B" w:rsidTr="005157A7">
        <w:trPr>
          <w:tblHeader/>
        </w:trPr>
        <w:tc>
          <w:tcPr>
            <w:tcW w:w="493" w:type="pct"/>
            <w:vMerge/>
            <w:vAlign w:val="center"/>
          </w:tcPr>
          <w:p w:rsidR="00AF49F3" w:rsidRPr="00D97A1B" w:rsidRDefault="00AF49F3" w:rsidP="005157A7">
            <w:pPr>
              <w:jc w:val="center"/>
              <w:rPr>
                <w:b/>
              </w:rPr>
            </w:pPr>
          </w:p>
        </w:tc>
        <w:tc>
          <w:tcPr>
            <w:tcW w:w="4507" w:type="pct"/>
            <w:vAlign w:val="center"/>
          </w:tcPr>
          <w:p w:rsidR="00AF49F3" w:rsidRPr="00D97A1B" w:rsidRDefault="00AF49F3" w:rsidP="005157A7">
            <w:pPr>
              <w:ind w:right="-5"/>
              <w:jc w:val="center"/>
              <w:rPr>
                <w:b/>
              </w:rPr>
            </w:pPr>
            <w:r w:rsidRPr="00D97A1B">
              <w:rPr>
                <w:b/>
              </w:rPr>
              <w:t>Зміст</w:t>
            </w:r>
          </w:p>
        </w:tc>
      </w:tr>
      <w:tr w:rsidR="00AF49F3" w:rsidRPr="00D97A1B" w:rsidTr="005157A7">
        <w:trPr>
          <w:trHeight w:val="423"/>
        </w:trPr>
        <w:tc>
          <w:tcPr>
            <w:tcW w:w="493" w:type="pct"/>
          </w:tcPr>
          <w:p w:rsidR="00AF49F3" w:rsidRPr="00D97A1B" w:rsidRDefault="00AF49F3" w:rsidP="005157A7">
            <w:r w:rsidRPr="00D97A1B">
              <w:t>РН-2</w:t>
            </w:r>
          </w:p>
        </w:tc>
        <w:tc>
          <w:tcPr>
            <w:tcW w:w="4507" w:type="pct"/>
          </w:tcPr>
          <w:p w:rsidR="00AF49F3" w:rsidRPr="00D97A1B" w:rsidRDefault="00AF49F3" w:rsidP="005157A7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D97A1B">
              <w:rPr>
                <w:rFonts w:eastAsia="Times New Roman"/>
              </w:rPr>
              <w:t>Давати відповіді, пояснювати, розуміти пояснення, дискутувати, звітувати державною мовою</w:t>
            </w:r>
          </w:p>
        </w:tc>
      </w:tr>
      <w:tr w:rsidR="00AF49F3" w:rsidRPr="00D97A1B" w:rsidTr="005157A7">
        <w:trPr>
          <w:trHeight w:val="423"/>
        </w:trPr>
        <w:tc>
          <w:tcPr>
            <w:tcW w:w="493" w:type="pct"/>
          </w:tcPr>
          <w:p w:rsidR="00AF49F3" w:rsidRPr="00D97A1B" w:rsidRDefault="00AF49F3" w:rsidP="005157A7">
            <w:pPr>
              <w:rPr>
                <w:shd w:val="clear" w:color="auto" w:fill="FFFFFF"/>
              </w:rPr>
            </w:pPr>
            <w:r w:rsidRPr="00D97A1B">
              <w:t>РН-5</w:t>
            </w:r>
          </w:p>
        </w:tc>
        <w:tc>
          <w:tcPr>
            <w:tcW w:w="4507" w:type="pct"/>
          </w:tcPr>
          <w:p w:rsidR="00AF49F3" w:rsidRPr="00D97A1B" w:rsidRDefault="00AF49F3" w:rsidP="005157A7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D97A1B">
              <w:rPr>
                <w:rFonts w:eastAsia="Times New Roman"/>
              </w:rPr>
              <w:t>Досліджувати, експериментувати, аналізувати та оцінювати процеси та параметри транспортних систем</w:t>
            </w:r>
          </w:p>
        </w:tc>
      </w:tr>
      <w:tr w:rsidR="00AF49F3" w:rsidRPr="00D97A1B" w:rsidTr="005157A7">
        <w:trPr>
          <w:trHeight w:val="423"/>
        </w:trPr>
        <w:tc>
          <w:tcPr>
            <w:tcW w:w="493" w:type="pct"/>
          </w:tcPr>
          <w:p w:rsidR="00AF49F3" w:rsidRPr="00D97A1B" w:rsidRDefault="00AF49F3" w:rsidP="005157A7">
            <w:r w:rsidRPr="00D97A1B">
              <w:t>РН-7</w:t>
            </w:r>
          </w:p>
        </w:tc>
        <w:tc>
          <w:tcPr>
            <w:tcW w:w="4507" w:type="pct"/>
          </w:tcPr>
          <w:p w:rsidR="00AF49F3" w:rsidRPr="00D97A1B" w:rsidRDefault="00AF49F3" w:rsidP="005157A7">
            <w:pPr>
              <w:widowControl w:val="0"/>
              <w:suppressLineNumbers/>
              <w:suppressAutoHyphens/>
            </w:pPr>
            <w:r w:rsidRPr="00D97A1B">
              <w:rPr>
                <w:rFonts w:eastAsia="Times New Roman"/>
              </w:rPr>
              <w:t>Формулювати, модифікувати, розробляти нові ідеї</w:t>
            </w:r>
          </w:p>
        </w:tc>
      </w:tr>
      <w:tr w:rsidR="00AF49F3" w:rsidRPr="00C1300F" w:rsidTr="005157A7">
        <w:tc>
          <w:tcPr>
            <w:tcW w:w="493" w:type="pct"/>
          </w:tcPr>
          <w:p w:rsidR="00AF49F3" w:rsidRPr="00D97A1B" w:rsidRDefault="00AF49F3" w:rsidP="005157A7">
            <w:pPr>
              <w:rPr>
                <w:bCs/>
                <w:color w:val="000000"/>
                <w:lang w:eastAsia="zh-TW"/>
              </w:rPr>
            </w:pPr>
            <w:r w:rsidRPr="00D97A1B">
              <w:t>РН-9</w:t>
            </w:r>
          </w:p>
        </w:tc>
        <w:tc>
          <w:tcPr>
            <w:tcW w:w="4507" w:type="pct"/>
          </w:tcPr>
          <w:p w:rsidR="00AF49F3" w:rsidRPr="00D97A1B" w:rsidRDefault="00AF49F3" w:rsidP="005157A7">
            <w:pPr>
              <w:rPr>
                <w:shd w:val="clear" w:color="auto" w:fill="FFFFFF"/>
              </w:rPr>
            </w:pPr>
            <w:r w:rsidRPr="00D97A1B">
              <w:rPr>
                <w:lang w:eastAsia="uk-UA"/>
              </w:rPr>
              <w:t>Розробляти, планувати, впроваджувати методи організації безпечної ді</w:t>
            </w:r>
            <w:r w:rsidRPr="00D97A1B">
              <w:rPr>
                <w:lang w:eastAsia="uk-UA"/>
              </w:rPr>
              <w:t>я</w:t>
            </w:r>
            <w:r w:rsidRPr="00D97A1B">
              <w:rPr>
                <w:lang w:eastAsia="uk-UA"/>
              </w:rPr>
              <w:t>льності в транспортних системах</w:t>
            </w:r>
          </w:p>
        </w:tc>
      </w:tr>
    </w:tbl>
    <w:p w:rsidR="00AF49F3" w:rsidRDefault="00AF49F3" w:rsidP="00B94CF1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lang w:eastAsia="uk-UA"/>
        </w:rPr>
      </w:pPr>
    </w:p>
    <w:p w:rsidR="00E811BF" w:rsidRPr="006E5ACF" w:rsidRDefault="00E811BF" w:rsidP="00B94CF1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</w:t>
      </w:r>
      <w:r w:rsidR="00D42889" w:rsidRPr="00D42889">
        <w:rPr>
          <w:sz w:val="28"/>
          <w:szCs w:val="28"/>
          <w:lang w:eastAsia="uk-UA"/>
        </w:rPr>
        <w:t>формування у студентів системних знань і розуміння концептуальних основ логістики, теорії і практики розвитку цього напряму, набуття навичок самостійної роботи із навчальним матеріалом стосовно сучасних методів управління матеріальними та ін</w:t>
      </w:r>
      <w:r w:rsidR="00524339">
        <w:rPr>
          <w:sz w:val="28"/>
          <w:szCs w:val="28"/>
          <w:lang w:eastAsia="uk-UA"/>
        </w:rPr>
        <w:t>шими потоками в сучасних умовах</w:t>
      </w:r>
      <w:r w:rsidR="006E5ED8">
        <w:rPr>
          <w:sz w:val="28"/>
          <w:szCs w:val="28"/>
          <w:lang w:eastAsia="uk-UA"/>
        </w:rPr>
        <w:t>, з</w:t>
      </w:r>
      <w:r w:rsidR="006E5ED8" w:rsidRPr="006E5ED8">
        <w:rPr>
          <w:sz w:val="28"/>
          <w:szCs w:val="28"/>
          <w:lang w:eastAsia="uk-UA"/>
        </w:rPr>
        <w:t>датність аналізувати параметри і показники функціонування транспортних процесів і систем</w:t>
      </w:r>
      <w:r w:rsidR="006E5ED8">
        <w:rPr>
          <w:sz w:val="28"/>
          <w:szCs w:val="28"/>
          <w:lang w:eastAsia="uk-UA"/>
        </w:rPr>
        <w:t>, знати та розуміти</w:t>
      </w:r>
      <w:r w:rsidR="006E5ED8" w:rsidRPr="006E5ED8">
        <w:rPr>
          <w:sz w:val="28"/>
          <w:szCs w:val="28"/>
          <w:lang w:eastAsia="uk-UA"/>
        </w:rPr>
        <w:t xml:space="preserve"> логістичн</w:t>
      </w:r>
      <w:r w:rsidR="006E5ED8">
        <w:rPr>
          <w:sz w:val="28"/>
          <w:szCs w:val="28"/>
          <w:lang w:eastAsia="uk-UA"/>
        </w:rPr>
        <w:t>е</w:t>
      </w:r>
      <w:r w:rsidR="006E5ED8" w:rsidRPr="006E5ED8">
        <w:rPr>
          <w:sz w:val="28"/>
          <w:szCs w:val="28"/>
          <w:lang w:eastAsia="uk-UA"/>
        </w:rPr>
        <w:t xml:space="preserve"> управління матеріальними та іншим потоками</w:t>
      </w:r>
      <w:r w:rsidR="006E5ED8">
        <w:rPr>
          <w:sz w:val="28"/>
          <w:szCs w:val="28"/>
          <w:lang w:eastAsia="uk-UA"/>
        </w:rPr>
        <w:t>.</w:t>
      </w:r>
    </w:p>
    <w:p w:rsidR="00E811BF" w:rsidRPr="006E5ACF" w:rsidRDefault="00E811BF" w:rsidP="00B94CF1">
      <w:pPr>
        <w:pStyle w:val="3"/>
        <w:widowControl w:val="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  <w:lang w:eastAsia="uk-UA"/>
        </w:rPr>
        <w:t>Реалізація мети вимагає трансформації програмних результатів навчання</w:t>
      </w:r>
      <w:r w:rsidRPr="006E5ACF">
        <w:rPr>
          <w:spacing w:val="0"/>
          <w:szCs w:val="28"/>
        </w:rPr>
        <w:t xml:space="preserve">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E811BF" w:rsidRPr="002956A2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_Toc523035522"/>
      <w:bookmarkStart w:id="3" w:name="_Hlk497602021"/>
      <w:bookmarkEnd w:id="1"/>
      <w:r w:rsidRPr="002956A2"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8882"/>
      </w:tblGrid>
      <w:tr w:rsidR="00E811BF" w:rsidRPr="00D97A1B" w:rsidTr="00B01134">
        <w:trPr>
          <w:tblHeader/>
        </w:trPr>
        <w:tc>
          <w:tcPr>
            <w:tcW w:w="493" w:type="pct"/>
            <w:vMerge w:val="restart"/>
            <w:vAlign w:val="center"/>
          </w:tcPr>
          <w:p w:rsidR="00E811BF" w:rsidRPr="00D97A1B" w:rsidRDefault="00E811BF" w:rsidP="001508A1">
            <w:pPr>
              <w:jc w:val="center"/>
              <w:rPr>
                <w:b/>
              </w:rPr>
            </w:pPr>
            <w:r w:rsidRPr="00D97A1B">
              <w:rPr>
                <w:b/>
              </w:rPr>
              <w:t>Шифр</w:t>
            </w:r>
          </w:p>
          <w:p w:rsidR="00E811BF" w:rsidRPr="00D97A1B" w:rsidRDefault="00E811BF" w:rsidP="001508A1">
            <w:pPr>
              <w:jc w:val="center"/>
              <w:rPr>
                <w:b/>
              </w:rPr>
            </w:pPr>
            <w:r w:rsidRPr="00D97A1B">
              <w:rPr>
                <w:b/>
              </w:rPr>
              <w:t>ПРН</w:t>
            </w:r>
          </w:p>
        </w:tc>
        <w:tc>
          <w:tcPr>
            <w:tcW w:w="4507" w:type="pct"/>
            <w:vAlign w:val="center"/>
          </w:tcPr>
          <w:p w:rsidR="00E811BF" w:rsidRPr="00D97A1B" w:rsidRDefault="00E811BF" w:rsidP="001508A1">
            <w:pPr>
              <w:ind w:right="-5"/>
              <w:jc w:val="center"/>
              <w:rPr>
                <w:b/>
              </w:rPr>
            </w:pPr>
            <w:r w:rsidRPr="00D97A1B">
              <w:rPr>
                <w:b/>
              </w:rPr>
              <w:t>Дисциплінарні результати навчання (ДРН)</w:t>
            </w:r>
          </w:p>
        </w:tc>
      </w:tr>
      <w:tr w:rsidR="00D97A1B" w:rsidRPr="00D97A1B" w:rsidTr="00D97A1B">
        <w:trPr>
          <w:tblHeader/>
        </w:trPr>
        <w:tc>
          <w:tcPr>
            <w:tcW w:w="493" w:type="pct"/>
            <w:vMerge/>
            <w:vAlign w:val="center"/>
          </w:tcPr>
          <w:p w:rsidR="00D97A1B" w:rsidRPr="00D97A1B" w:rsidRDefault="00D97A1B" w:rsidP="001508A1">
            <w:pPr>
              <w:jc w:val="center"/>
              <w:rPr>
                <w:b/>
              </w:rPr>
            </w:pPr>
          </w:p>
        </w:tc>
        <w:tc>
          <w:tcPr>
            <w:tcW w:w="4507" w:type="pct"/>
            <w:vAlign w:val="center"/>
          </w:tcPr>
          <w:p w:rsidR="00D97A1B" w:rsidRPr="00D97A1B" w:rsidRDefault="00D97A1B" w:rsidP="001508A1">
            <w:pPr>
              <w:ind w:right="-5"/>
              <w:jc w:val="center"/>
              <w:rPr>
                <w:b/>
              </w:rPr>
            </w:pPr>
            <w:r w:rsidRPr="00D97A1B">
              <w:rPr>
                <w:b/>
              </w:rPr>
              <w:t>Зміст</w:t>
            </w:r>
          </w:p>
        </w:tc>
      </w:tr>
      <w:tr w:rsidR="00D97A1B" w:rsidRPr="00D97A1B" w:rsidTr="00D97A1B">
        <w:trPr>
          <w:trHeight w:val="423"/>
        </w:trPr>
        <w:tc>
          <w:tcPr>
            <w:tcW w:w="493" w:type="pct"/>
          </w:tcPr>
          <w:p w:rsidR="00D97A1B" w:rsidRPr="00D97A1B" w:rsidRDefault="00D97A1B" w:rsidP="00AF49F3">
            <w:r w:rsidRPr="00D97A1B">
              <w:t>РН-</w:t>
            </w:r>
            <w:r w:rsidR="00AF49F3">
              <w:t>11</w:t>
            </w:r>
          </w:p>
        </w:tc>
        <w:tc>
          <w:tcPr>
            <w:tcW w:w="4507" w:type="pct"/>
          </w:tcPr>
          <w:p w:rsidR="00D97A1B" w:rsidRPr="00D97A1B" w:rsidRDefault="00AF49F3" w:rsidP="005B5C31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AF49F3">
              <w:rPr>
                <w:rFonts w:eastAsia="Times New Roman"/>
                <w:lang w:eastAsia="uk-UA"/>
              </w:rPr>
              <w:t>Розділяти на категорії транспортні процеси. Оцінювати складні параметри транспортних систем. Виконувати системний аналіз</w:t>
            </w:r>
          </w:p>
        </w:tc>
      </w:tr>
      <w:tr w:rsidR="00D97A1B" w:rsidRPr="00D97A1B" w:rsidTr="00D97A1B">
        <w:trPr>
          <w:trHeight w:val="423"/>
        </w:trPr>
        <w:tc>
          <w:tcPr>
            <w:tcW w:w="493" w:type="pct"/>
          </w:tcPr>
          <w:p w:rsidR="00D97A1B" w:rsidRPr="00D97A1B" w:rsidRDefault="00D97A1B" w:rsidP="00D97A1B">
            <w:pPr>
              <w:rPr>
                <w:shd w:val="clear" w:color="auto" w:fill="FFFFFF"/>
              </w:rPr>
            </w:pPr>
            <w:bookmarkStart w:id="4" w:name="_Hlk498188405"/>
            <w:r w:rsidRPr="00D97A1B">
              <w:t>РН-</w:t>
            </w:r>
            <w:r w:rsidR="00AF49F3">
              <w:t>1</w:t>
            </w:r>
            <w:r w:rsidRPr="00D97A1B">
              <w:t>5</w:t>
            </w:r>
          </w:p>
        </w:tc>
        <w:tc>
          <w:tcPr>
            <w:tcW w:w="4507" w:type="pct"/>
          </w:tcPr>
          <w:p w:rsidR="00D97A1B" w:rsidRPr="00D97A1B" w:rsidRDefault="00AF49F3" w:rsidP="005B5C31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AF49F3">
              <w:rPr>
                <w:rFonts w:eastAsia="Times New Roman"/>
                <w:lang w:eastAsia="uk-UA"/>
              </w:rPr>
              <w:t>Оцінювати параметри транспортних потоків. Проектувати схеми і мережі транспортних систем. Організовувати технології управління транспортними потоками.</w:t>
            </w:r>
          </w:p>
        </w:tc>
      </w:tr>
      <w:tr w:rsidR="00D97A1B" w:rsidRPr="00D97A1B" w:rsidTr="00D97A1B">
        <w:trPr>
          <w:trHeight w:val="423"/>
        </w:trPr>
        <w:tc>
          <w:tcPr>
            <w:tcW w:w="493" w:type="pct"/>
          </w:tcPr>
          <w:p w:rsidR="00D97A1B" w:rsidRPr="00D97A1B" w:rsidRDefault="00D97A1B" w:rsidP="001431D6">
            <w:r w:rsidRPr="00D97A1B">
              <w:t>РН-</w:t>
            </w:r>
            <w:r w:rsidR="00AF49F3">
              <w:t>1</w:t>
            </w:r>
            <w:r w:rsidRPr="00D97A1B">
              <w:t>7</w:t>
            </w:r>
          </w:p>
        </w:tc>
        <w:tc>
          <w:tcPr>
            <w:tcW w:w="4507" w:type="pct"/>
          </w:tcPr>
          <w:p w:rsidR="00D97A1B" w:rsidRPr="00D97A1B" w:rsidRDefault="00AF49F3" w:rsidP="005B5C31">
            <w:pPr>
              <w:widowControl w:val="0"/>
              <w:suppressLineNumbers/>
              <w:suppressAutoHyphens/>
            </w:pPr>
            <w:r w:rsidRPr="00AF49F3">
              <w:rPr>
                <w:rFonts w:eastAsia="Times New Roman"/>
              </w:rPr>
              <w:t>Установлювати зв’язки між різними ланцюгами постачань. Визначення функцій логістичних центрів. Виділяти особливості супутніх інформаційних і фінансових потоків.</w:t>
            </w:r>
          </w:p>
        </w:tc>
      </w:tr>
      <w:tr w:rsidR="00D97A1B" w:rsidRPr="00C1300F" w:rsidTr="00D97A1B">
        <w:tc>
          <w:tcPr>
            <w:tcW w:w="493" w:type="pct"/>
          </w:tcPr>
          <w:p w:rsidR="00D97A1B" w:rsidRPr="00D97A1B" w:rsidRDefault="00D97A1B" w:rsidP="00AF49F3">
            <w:pPr>
              <w:rPr>
                <w:bCs/>
                <w:color w:val="000000"/>
                <w:lang w:eastAsia="zh-TW"/>
              </w:rPr>
            </w:pPr>
            <w:r w:rsidRPr="00D97A1B">
              <w:t>РН-</w:t>
            </w:r>
            <w:r w:rsidR="00AF49F3">
              <w:t>24</w:t>
            </w:r>
          </w:p>
        </w:tc>
        <w:tc>
          <w:tcPr>
            <w:tcW w:w="4507" w:type="pct"/>
          </w:tcPr>
          <w:p w:rsidR="00D97A1B" w:rsidRPr="00D97A1B" w:rsidRDefault="00AF49F3" w:rsidP="005B5C31">
            <w:pPr>
              <w:rPr>
                <w:shd w:val="clear" w:color="auto" w:fill="FFFFFF"/>
              </w:rPr>
            </w:pPr>
            <w:r w:rsidRPr="00AF49F3">
              <w:rPr>
                <w:rFonts w:eastAsia="Times New Roman"/>
              </w:rPr>
              <w:t>Вибирати навігаційні системи. Аналізувати алгоритми навігаційних систем. Використовувати електронні карти.</w:t>
            </w:r>
          </w:p>
        </w:tc>
      </w:tr>
      <w:tr w:rsidR="00AF49F3" w:rsidRPr="00C1300F" w:rsidTr="00D97A1B">
        <w:tc>
          <w:tcPr>
            <w:tcW w:w="493" w:type="pct"/>
          </w:tcPr>
          <w:p w:rsidR="00AF49F3" w:rsidRPr="00D97A1B" w:rsidRDefault="004550C4" w:rsidP="00AF49F3">
            <w:r>
              <w:t>РН-25</w:t>
            </w:r>
          </w:p>
        </w:tc>
        <w:tc>
          <w:tcPr>
            <w:tcW w:w="4507" w:type="pct"/>
          </w:tcPr>
          <w:p w:rsidR="00AF49F3" w:rsidRPr="00AF49F3" w:rsidRDefault="004550C4" w:rsidP="005B5C31">
            <w:pPr>
              <w:rPr>
                <w:rFonts w:eastAsia="Times New Roman"/>
              </w:rPr>
            </w:pPr>
            <w:r w:rsidRPr="00A64033">
              <w:t>Вибирати методи прогнозування стану і параметрів транспортних систем. Досліджув</w:t>
            </w:r>
            <w:r w:rsidRPr="00A64033">
              <w:t>а</w:t>
            </w:r>
            <w:r w:rsidRPr="00A64033">
              <w:t>ти еволюцію транспортних систем. Робити висновки щодо шляхів використання досліджень розвитку транспортних си</w:t>
            </w:r>
            <w:r w:rsidRPr="00A64033">
              <w:t>с</w:t>
            </w:r>
            <w:r w:rsidRPr="00A64033">
              <w:t>тем.</w:t>
            </w:r>
          </w:p>
        </w:tc>
      </w:tr>
    </w:tbl>
    <w:p w:rsidR="004550C4" w:rsidRDefault="004550C4" w:rsidP="004550C4">
      <w:pPr>
        <w:pStyle w:val="1"/>
        <w:spacing w:after="12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_Toc523035523"/>
      <w:bookmarkStart w:id="6" w:name="_Toc503465802"/>
      <w:bookmarkStart w:id="7" w:name="_Hlk497602067"/>
      <w:bookmarkEnd w:id="3"/>
      <w:bookmarkEnd w:id="4"/>
    </w:p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5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6234"/>
      </w:tblGrid>
      <w:tr w:rsidR="00E811BF" w:rsidRPr="00E31962" w:rsidTr="00CD17DF">
        <w:trPr>
          <w:tblHeader/>
        </w:trPr>
        <w:tc>
          <w:tcPr>
            <w:tcW w:w="1836" w:type="pct"/>
            <w:vAlign w:val="center"/>
          </w:tcPr>
          <w:p w:rsidR="00E811BF" w:rsidRPr="00E31962" w:rsidRDefault="00E811BF" w:rsidP="00234B6B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4" w:type="pct"/>
            <w:vAlign w:val="center"/>
          </w:tcPr>
          <w:p w:rsidR="00E811BF" w:rsidRPr="00E31962" w:rsidRDefault="00E811BF" w:rsidP="00234B6B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6C6D73" w:rsidRPr="006D007B" w:rsidTr="001431D6">
        <w:trPr>
          <w:trHeight w:val="569"/>
        </w:trPr>
        <w:tc>
          <w:tcPr>
            <w:tcW w:w="1836" w:type="pct"/>
            <w:vAlign w:val="center"/>
          </w:tcPr>
          <w:p w:rsidR="006C6D73" w:rsidRPr="00AF1E0E" w:rsidRDefault="006A0883" w:rsidP="006A0883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3 1</w:t>
            </w:r>
            <w:r w:rsidR="006C6D73" w:rsidRPr="00AF1E0E">
              <w:rPr>
                <w:spacing w:val="-6"/>
                <w:lang w:eastAsia="uk-UA"/>
              </w:rPr>
              <w:t xml:space="preserve"> </w:t>
            </w:r>
            <w:r>
              <w:rPr>
                <w:lang w:eastAsia="uk-UA"/>
              </w:rPr>
              <w:t>Українська мова</w:t>
            </w:r>
          </w:p>
        </w:tc>
        <w:tc>
          <w:tcPr>
            <w:tcW w:w="3164" w:type="pct"/>
            <w:vAlign w:val="center"/>
          </w:tcPr>
          <w:p w:rsidR="006C6D73" w:rsidRPr="0009529C" w:rsidRDefault="006A0883" w:rsidP="0009529C">
            <w:pPr>
              <w:rPr>
                <w:spacing w:val="-6"/>
                <w:lang w:eastAsia="uk-UA"/>
              </w:rPr>
            </w:pPr>
            <w:r w:rsidRPr="00362FA3">
              <w:rPr>
                <w:lang w:eastAsia="uk-UA"/>
              </w:rPr>
              <w:t>Застосовувати, використовувати інформаційні і комунікаційні технології</w:t>
            </w:r>
          </w:p>
        </w:tc>
      </w:tr>
      <w:tr w:rsidR="00613571" w:rsidRPr="006D007B" w:rsidTr="00CD17DF">
        <w:tc>
          <w:tcPr>
            <w:tcW w:w="1836" w:type="pct"/>
          </w:tcPr>
          <w:p w:rsidR="00613571" w:rsidRDefault="006A0883" w:rsidP="00F74369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Б 1 Вища математика</w:t>
            </w:r>
          </w:p>
        </w:tc>
        <w:tc>
          <w:tcPr>
            <w:tcW w:w="3164" w:type="pct"/>
          </w:tcPr>
          <w:p w:rsidR="006340D5" w:rsidRDefault="006A0883" w:rsidP="0009529C">
            <w:r w:rsidRPr="00362FA3">
              <w:rPr>
                <w:lang w:eastAsia="uk-UA"/>
              </w:rPr>
              <w:t>Пра</w:t>
            </w:r>
            <w:r>
              <w:rPr>
                <w:lang w:eastAsia="uk-UA"/>
              </w:rPr>
              <w:t>цювати за професійною діяльністю</w:t>
            </w:r>
          </w:p>
        </w:tc>
      </w:tr>
      <w:tr w:rsidR="006A0883" w:rsidRPr="006D007B" w:rsidTr="00CD17DF">
        <w:tc>
          <w:tcPr>
            <w:tcW w:w="1836" w:type="pct"/>
          </w:tcPr>
          <w:p w:rsidR="006A0883" w:rsidRDefault="006A0883" w:rsidP="00E22F15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Ф 18 Основи маркетингу</w:t>
            </w:r>
          </w:p>
        </w:tc>
        <w:tc>
          <w:tcPr>
            <w:tcW w:w="3164" w:type="pct"/>
          </w:tcPr>
          <w:p w:rsidR="006A0883" w:rsidRDefault="006A0883" w:rsidP="00E22F15">
            <w:r w:rsidRPr="00362FA3">
              <w:rPr>
                <w:lang w:eastAsia="uk-UA"/>
              </w:rPr>
              <w:t>Оцінювати соціальний ефект. Оцінювати економічний ефект. Робити висновки щодо співвідношення між соціальними і економічними показниками транспортних систем. </w:t>
            </w:r>
          </w:p>
        </w:tc>
      </w:tr>
      <w:tr w:rsidR="006340D5" w:rsidRPr="006D007B" w:rsidTr="00CD17DF">
        <w:tc>
          <w:tcPr>
            <w:tcW w:w="1836" w:type="pct"/>
          </w:tcPr>
          <w:p w:rsidR="006340D5" w:rsidRPr="006D007B" w:rsidRDefault="006340D5" w:rsidP="00E22F15">
            <w:pPr>
              <w:rPr>
                <w:highlight w:val="yellow"/>
              </w:rPr>
            </w:pPr>
            <w:r>
              <w:rPr>
                <w:spacing w:val="-6"/>
                <w:lang w:eastAsia="uk-UA"/>
              </w:rPr>
              <w:t xml:space="preserve">Ф19 Основи менеджменту </w:t>
            </w:r>
          </w:p>
        </w:tc>
        <w:tc>
          <w:tcPr>
            <w:tcW w:w="3164" w:type="pct"/>
          </w:tcPr>
          <w:p w:rsidR="006340D5" w:rsidRPr="006D007B" w:rsidRDefault="006340D5" w:rsidP="00E22F15">
            <w:pPr>
              <w:rPr>
                <w:highlight w:val="yellow"/>
              </w:rPr>
            </w:pPr>
            <w:r>
              <w:t>Досліджувати види і типи транспортних систем. Знаходити рішення оптимізації параметрів транспортних систем. Оцінювати ефективність транспортних систем.</w:t>
            </w:r>
          </w:p>
        </w:tc>
      </w:tr>
    </w:tbl>
    <w:p w:rsidR="00E811BF" w:rsidRPr="000E5B22" w:rsidRDefault="00E811BF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_Toc523035524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49"/>
        <w:gridCol w:w="1202"/>
        <w:gridCol w:w="1330"/>
        <w:gridCol w:w="1202"/>
        <w:gridCol w:w="1330"/>
        <w:gridCol w:w="1202"/>
        <w:gridCol w:w="1413"/>
      </w:tblGrid>
      <w:tr w:rsidR="00E811BF" w:rsidRPr="00596FFF" w:rsidTr="00B144FB">
        <w:tc>
          <w:tcPr>
            <w:tcW w:w="774" w:type="pct"/>
            <w:vMerge w:val="restart"/>
            <w:vAlign w:val="center"/>
          </w:tcPr>
          <w:p w:rsidR="00E811BF" w:rsidRPr="00596FFF" w:rsidRDefault="00E811BF" w:rsidP="00234B6B">
            <w:pPr>
              <w:jc w:val="center"/>
              <w:rPr>
                <w:b/>
              </w:rPr>
            </w:pPr>
            <w:r w:rsidRPr="00596FFF">
              <w:rPr>
                <w:b/>
              </w:rPr>
              <w:t>Вид навчальних занять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:rsidR="00E811BF" w:rsidRPr="00596FFF" w:rsidRDefault="00E811BF" w:rsidP="00984C5D">
            <w:pPr>
              <w:spacing w:after="120"/>
              <w:ind w:left="113" w:right="-6"/>
              <w:jc w:val="center"/>
              <w:rPr>
                <w:b/>
              </w:rPr>
            </w:pPr>
            <w:r w:rsidRPr="00596FFF">
              <w:rPr>
                <w:b/>
              </w:rPr>
              <w:t>Обсяг</w:t>
            </w:r>
            <w:r w:rsidRPr="00596FFF">
              <w:t xml:space="preserve">, </w:t>
            </w:r>
            <w:r w:rsidRPr="00596FFF">
              <w:rPr>
                <w:i/>
              </w:rPr>
              <w:t>години</w:t>
            </w:r>
          </w:p>
        </w:tc>
        <w:tc>
          <w:tcPr>
            <w:tcW w:w="3899" w:type="pct"/>
            <w:gridSpan w:val="6"/>
            <w:vAlign w:val="center"/>
          </w:tcPr>
          <w:p w:rsidR="00E811BF" w:rsidRPr="00596FFF" w:rsidRDefault="00E811BF" w:rsidP="00234B6B">
            <w:pPr>
              <w:ind w:right="-5"/>
              <w:jc w:val="center"/>
              <w:rPr>
                <w:b/>
              </w:rPr>
            </w:pPr>
            <w:r w:rsidRPr="00596FFF">
              <w:rPr>
                <w:b/>
              </w:rPr>
              <w:t>Розподіл за формами навчання</w:t>
            </w:r>
            <w:r w:rsidRPr="00596FFF">
              <w:rPr>
                <w:i/>
              </w:rPr>
              <w:t>, години</w:t>
            </w:r>
          </w:p>
        </w:tc>
      </w:tr>
      <w:tr w:rsidR="00E811BF" w:rsidRPr="00596FFF" w:rsidTr="00B144FB">
        <w:tc>
          <w:tcPr>
            <w:tcW w:w="774" w:type="pct"/>
            <w:vMerge/>
            <w:vAlign w:val="center"/>
          </w:tcPr>
          <w:p w:rsidR="00E811BF" w:rsidRPr="00596FFF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326" w:type="pct"/>
            <w:vMerge/>
          </w:tcPr>
          <w:p w:rsidR="00E811BF" w:rsidRPr="00596FFF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E811BF" w:rsidRPr="00596FFF" w:rsidRDefault="00E811BF" w:rsidP="00234B6B">
            <w:pPr>
              <w:jc w:val="center"/>
              <w:rPr>
                <w:b/>
              </w:rPr>
            </w:pPr>
            <w:r w:rsidRPr="00596FFF">
              <w:rPr>
                <w:b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:rsidR="00E811BF" w:rsidRPr="00596FFF" w:rsidRDefault="00E811BF" w:rsidP="00234B6B">
            <w:pPr>
              <w:jc w:val="center"/>
              <w:rPr>
                <w:b/>
              </w:rPr>
            </w:pPr>
            <w:r w:rsidRPr="00596FFF">
              <w:rPr>
                <w:b/>
              </w:rPr>
              <w:t>вечірня</w:t>
            </w:r>
          </w:p>
        </w:tc>
        <w:tc>
          <w:tcPr>
            <w:tcW w:w="1330" w:type="pct"/>
            <w:gridSpan w:val="2"/>
            <w:vAlign w:val="center"/>
          </w:tcPr>
          <w:p w:rsidR="00E811BF" w:rsidRPr="00596FFF" w:rsidRDefault="00E811BF" w:rsidP="00234B6B">
            <w:pPr>
              <w:ind w:right="-5"/>
              <w:jc w:val="center"/>
              <w:rPr>
                <w:b/>
              </w:rPr>
            </w:pPr>
            <w:r w:rsidRPr="00596FFF">
              <w:rPr>
                <w:b/>
              </w:rPr>
              <w:t>заочна</w:t>
            </w:r>
          </w:p>
        </w:tc>
      </w:tr>
      <w:tr w:rsidR="00E811BF" w:rsidRPr="00596FFF" w:rsidTr="00B144FB">
        <w:tc>
          <w:tcPr>
            <w:tcW w:w="774" w:type="pct"/>
            <w:vMerge/>
            <w:vAlign w:val="center"/>
          </w:tcPr>
          <w:p w:rsidR="00E811BF" w:rsidRPr="00596FFF" w:rsidRDefault="00E811BF" w:rsidP="00234B6B">
            <w:pPr>
              <w:jc w:val="center"/>
            </w:pPr>
          </w:p>
        </w:tc>
        <w:tc>
          <w:tcPr>
            <w:tcW w:w="326" w:type="pct"/>
            <w:vMerge/>
          </w:tcPr>
          <w:p w:rsidR="00E811BF" w:rsidRPr="00596FFF" w:rsidRDefault="00E811BF" w:rsidP="00234B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="00E811BF" w:rsidRPr="00596FFF" w:rsidRDefault="00E811BF" w:rsidP="00234B6B">
            <w:pPr>
              <w:jc w:val="center"/>
              <w:rPr>
                <w:bCs/>
                <w:color w:val="000000"/>
              </w:rPr>
            </w:pPr>
            <w:r w:rsidRPr="00596F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E811BF" w:rsidRPr="00596FFF" w:rsidRDefault="00E811BF" w:rsidP="00234B6B">
            <w:pPr>
              <w:jc w:val="center"/>
            </w:pPr>
            <w:r w:rsidRPr="00596FFF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E811BF" w:rsidRPr="00596FFF" w:rsidRDefault="00E811BF" w:rsidP="00234B6B">
            <w:pPr>
              <w:jc w:val="center"/>
              <w:rPr>
                <w:bCs/>
                <w:color w:val="000000"/>
              </w:rPr>
            </w:pPr>
            <w:r w:rsidRPr="00596F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E811BF" w:rsidRPr="00596FFF" w:rsidRDefault="00E811BF" w:rsidP="00234B6B">
            <w:pPr>
              <w:jc w:val="center"/>
            </w:pPr>
            <w:r w:rsidRPr="00596FFF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E811BF" w:rsidRPr="00596FFF" w:rsidRDefault="00E811BF" w:rsidP="00234B6B">
            <w:pPr>
              <w:jc w:val="center"/>
              <w:rPr>
                <w:bCs/>
                <w:color w:val="000000"/>
              </w:rPr>
            </w:pPr>
            <w:r w:rsidRPr="00596F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0" w:type="pct"/>
            <w:vAlign w:val="center"/>
          </w:tcPr>
          <w:p w:rsidR="00E811BF" w:rsidRPr="00596FFF" w:rsidRDefault="00E811BF" w:rsidP="00234B6B">
            <w:pPr>
              <w:jc w:val="center"/>
            </w:pPr>
            <w:r w:rsidRPr="00596FFF">
              <w:rPr>
                <w:sz w:val="22"/>
                <w:szCs w:val="22"/>
              </w:rPr>
              <w:t>самостійна робота</w:t>
            </w:r>
          </w:p>
        </w:tc>
      </w:tr>
      <w:tr w:rsidR="008634E9" w:rsidRPr="00596FFF" w:rsidTr="00B144FB">
        <w:tc>
          <w:tcPr>
            <w:tcW w:w="772" w:type="pct"/>
            <w:vAlign w:val="center"/>
          </w:tcPr>
          <w:p w:rsidR="008634E9" w:rsidRPr="00596FFF" w:rsidRDefault="008634E9" w:rsidP="00984C5D">
            <w:r w:rsidRPr="00596FFF">
              <w:t>лекційні</w:t>
            </w:r>
          </w:p>
        </w:tc>
        <w:tc>
          <w:tcPr>
            <w:tcW w:w="329" w:type="pct"/>
            <w:vAlign w:val="bottom"/>
          </w:tcPr>
          <w:p w:rsidR="008634E9" w:rsidRPr="00596FFF" w:rsidRDefault="00596FFF" w:rsidP="00596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10" w:type="pct"/>
            <w:vAlign w:val="bottom"/>
          </w:tcPr>
          <w:p w:rsidR="008634E9" w:rsidRPr="00596FFF" w:rsidRDefault="00A34128" w:rsidP="00631D9A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22</w:t>
            </w:r>
          </w:p>
        </w:tc>
        <w:tc>
          <w:tcPr>
            <w:tcW w:w="675" w:type="pct"/>
            <w:vAlign w:val="bottom"/>
          </w:tcPr>
          <w:p w:rsidR="008634E9" w:rsidRPr="00596FFF" w:rsidRDefault="00596FFF" w:rsidP="00596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87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pct"/>
            <w:vAlign w:val="bottom"/>
          </w:tcPr>
          <w:p w:rsidR="008634E9" w:rsidRPr="00596FFF" w:rsidRDefault="008871FC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8634E9" w:rsidRPr="00596FFF" w:rsidTr="00B144FB">
        <w:tc>
          <w:tcPr>
            <w:tcW w:w="772" w:type="pct"/>
            <w:vAlign w:val="center"/>
          </w:tcPr>
          <w:p w:rsidR="008634E9" w:rsidRPr="00596FFF" w:rsidRDefault="008634E9" w:rsidP="00984C5D">
            <w:r w:rsidRPr="00596FFF">
              <w:t>практичні</w:t>
            </w:r>
          </w:p>
        </w:tc>
        <w:tc>
          <w:tcPr>
            <w:tcW w:w="329" w:type="pct"/>
            <w:vAlign w:val="bottom"/>
          </w:tcPr>
          <w:p w:rsidR="008634E9" w:rsidRPr="00596FFF" w:rsidRDefault="00596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10" w:type="pct"/>
            <w:vAlign w:val="bottom"/>
          </w:tcPr>
          <w:p w:rsidR="008634E9" w:rsidRPr="00596FFF" w:rsidRDefault="00596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75" w:type="pct"/>
            <w:vAlign w:val="bottom"/>
          </w:tcPr>
          <w:p w:rsidR="008634E9" w:rsidRPr="00596FFF" w:rsidRDefault="009C2F90" w:rsidP="00596FFF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4</w:t>
            </w:r>
            <w:r w:rsidR="00596FFF">
              <w:rPr>
                <w:color w:val="000000"/>
              </w:rPr>
              <w:t>2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87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pct"/>
            <w:vAlign w:val="bottom"/>
          </w:tcPr>
          <w:p w:rsidR="008634E9" w:rsidRPr="00596FFF" w:rsidRDefault="008871FC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634E9" w:rsidRPr="00596FFF" w:rsidTr="00B144FB">
        <w:tc>
          <w:tcPr>
            <w:tcW w:w="772" w:type="pct"/>
            <w:vAlign w:val="center"/>
          </w:tcPr>
          <w:p w:rsidR="008634E9" w:rsidRPr="00596FFF" w:rsidRDefault="008634E9" w:rsidP="00984C5D">
            <w:r w:rsidRPr="00596FFF">
              <w:t>лабораторні</w:t>
            </w:r>
          </w:p>
        </w:tc>
        <w:tc>
          <w:tcPr>
            <w:tcW w:w="329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72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</w:tr>
      <w:tr w:rsidR="008634E9" w:rsidRPr="00596FFF" w:rsidTr="00B144FB">
        <w:tc>
          <w:tcPr>
            <w:tcW w:w="772" w:type="pct"/>
            <w:vAlign w:val="center"/>
          </w:tcPr>
          <w:p w:rsidR="008634E9" w:rsidRPr="00596FFF" w:rsidRDefault="008634E9" w:rsidP="00984C5D">
            <w:r w:rsidRPr="00596FFF">
              <w:t>семінари</w:t>
            </w:r>
          </w:p>
        </w:tc>
        <w:tc>
          <w:tcPr>
            <w:tcW w:w="329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  <w:tc>
          <w:tcPr>
            <w:tcW w:w="72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-</w:t>
            </w:r>
          </w:p>
        </w:tc>
      </w:tr>
      <w:tr w:rsidR="00596FFF" w:rsidRPr="00596FFF" w:rsidTr="00B144FB">
        <w:tc>
          <w:tcPr>
            <w:tcW w:w="772" w:type="pct"/>
            <w:vAlign w:val="center"/>
          </w:tcPr>
          <w:p w:rsidR="00596FFF" w:rsidRPr="00596FFF" w:rsidRDefault="00596FFF" w:rsidP="00984C5D">
            <w:r>
              <w:t>контрольні заходи</w:t>
            </w:r>
          </w:p>
        </w:tc>
        <w:tc>
          <w:tcPr>
            <w:tcW w:w="329" w:type="pct"/>
            <w:vAlign w:val="bottom"/>
          </w:tcPr>
          <w:p w:rsidR="00596FFF" w:rsidRPr="00596FFF" w:rsidRDefault="00596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0" w:type="pct"/>
            <w:vAlign w:val="bottom"/>
          </w:tcPr>
          <w:p w:rsidR="00596FFF" w:rsidRPr="00596FFF" w:rsidRDefault="00596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5" w:type="pct"/>
            <w:vAlign w:val="bottom"/>
          </w:tcPr>
          <w:p w:rsidR="00596FFF" w:rsidRPr="00596FFF" w:rsidRDefault="00596FFF">
            <w:pPr>
              <w:jc w:val="center"/>
              <w:rPr>
                <w:color w:val="000000"/>
              </w:rPr>
            </w:pPr>
          </w:p>
        </w:tc>
        <w:tc>
          <w:tcPr>
            <w:tcW w:w="610" w:type="pct"/>
            <w:vAlign w:val="bottom"/>
          </w:tcPr>
          <w:p w:rsidR="00596FFF" w:rsidRPr="00596FFF" w:rsidRDefault="00596FF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pct"/>
            <w:vAlign w:val="bottom"/>
          </w:tcPr>
          <w:p w:rsidR="00596FFF" w:rsidRPr="00596FFF" w:rsidRDefault="00596FF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  <w:vAlign w:val="bottom"/>
          </w:tcPr>
          <w:p w:rsidR="00596FFF" w:rsidRPr="00596FFF" w:rsidRDefault="00596FFF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bottom"/>
          </w:tcPr>
          <w:p w:rsidR="00596FFF" w:rsidRPr="00596FFF" w:rsidRDefault="00596FFF">
            <w:pPr>
              <w:jc w:val="center"/>
              <w:rPr>
                <w:color w:val="000000"/>
              </w:rPr>
            </w:pPr>
          </w:p>
        </w:tc>
      </w:tr>
      <w:tr w:rsidR="008634E9" w:rsidRPr="000E5B22" w:rsidTr="00B144FB">
        <w:tc>
          <w:tcPr>
            <w:tcW w:w="772" w:type="pct"/>
            <w:vAlign w:val="center"/>
          </w:tcPr>
          <w:p w:rsidR="008634E9" w:rsidRPr="00596FFF" w:rsidRDefault="008634E9" w:rsidP="008634E9">
            <w:pPr>
              <w:jc w:val="center"/>
            </w:pPr>
            <w:r w:rsidRPr="00596FFF">
              <w:t>РАЗОМ</w:t>
            </w:r>
          </w:p>
        </w:tc>
        <w:tc>
          <w:tcPr>
            <w:tcW w:w="329" w:type="pct"/>
            <w:vAlign w:val="bottom"/>
          </w:tcPr>
          <w:p w:rsidR="008634E9" w:rsidRPr="00596FFF" w:rsidRDefault="006A0883">
            <w:pPr>
              <w:jc w:val="center"/>
              <w:rPr>
                <w:color w:val="000000"/>
              </w:rPr>
            </w:pPr>
            <w:r w:rsidRPr="00596FFF">
              <w:rPr>
                <w:color w:val="000000"/>
              </w:rPr>
              <w:t>150</w:t>
            </w:r>
          </w:p>
        </w:tc>
        <w:tc>
          <w:tcPr>
            <w:tcW w:w="610" w:type="pct"/>
            <w:vAlign w:val="bottom"/>
          </w:tcPr>
          <w:p w:rsidR="008634E9" w:rsidRPr="00596FFF" w:rsidRDefault="00596FFF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75" w:type="pct"/>
            <w:vAlign w:val="bottom"/>
          </w:tcPr>
          <w:p w:rsidR="008634E9" w:rsidRPr="00596FFF" w:rsidRDefault="00596FFF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10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596FFF" w:rsidRDefault="008634E9">
            <w:pPr>
              <w:jc w:val="center"/>
              <w:rPr>
                <w:color w:val="000000"/>
              </w:rPr>
            </w:pPr>
            <w:r w:rsidRPr="00596FFF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596FFF" w:rsidRDefault="00887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pct"/>
            <w:vAlign w:val="bottom"/>
          </w:tcPr>
          <w:p w:rsidR="008634E9" w:rsidRPr="00596FFF" w:rsidRDefault="008871FC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</w:tbl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523035525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9"/>
    </w:p>
    <w:tbl>
      <w:tblPr>
        <w:tblW w:w="9814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459"/>
        <w:gridCol w:w="6840"/>
        <w:gridCol w:w="1515"/>
      </w:tblGrid>
      <w:tr w:rsidR="00474E5F" w:rsidRPr="004550C4" w:rsidTr="001431D6">
        <w:trPr>
          <w:trHeight w:val="945"/>
          <w:tblHeader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F" w:rsidRPr="004550C4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4550C4">
              <w:rPr>
                <w:b/>
                <w:bCs/>
                <w:color w:val="000000"/>
              </w:rPr>
              <w:t>Шифри</w:t>
            </w:r>
          </w:p>
          <w:p w:rsidR="00474E5F" w:rsidRPr="004550C4" w:rsidRDefault="00474E5F" w:rsidP="001431D6">
            <w:pPr>
              <w:jc w:val="center"/>
            </w:pPr>
            <w:r w:rsidRPr="004550C4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4550C4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4550C4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4550C4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4550C4">
              <w:rPr>
                <w:b/>
                <w:bCs/>
                <w:color w:val="000000"/>
              </w:rPr>
              <w:t xml:space="preserve">Обсяг складових, </w:t>
            </w:r>
            <w:r w:rsidRPr="004550C4">
              <w:rPr>
                <w:bCs/>
                <w:i/>
                <w:color w:val="000000"/>
              </w:rPr>
              <w:t>години</w:t>
            </w:r>
          </w:p>
        </w:tc>
      </w:tr>
      <w:tr w:rsidR="00CD17DF" w:rsidRPr="004550C4" w:rsidTr="00CD17DF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4550C4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4550C4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550C4">
              <w:rPr>
                <w:rFonts w:eastAsia="Times New Roman"/>
                <w:b/>
                <w:bCs/>
                <w:lang w:eastAsia="uk-UA"/>
              </w:rPr>
              <w:t>Лекції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4550C4" w:rsidRDefault="00596FF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550C4">
              <w:rPr>
                <w:rFonts w:eastAsia="Times New Roman"/>
                <w:b/>
                <w:bCs/>
                <w:lang w:eastAsia="uk-UA"/>
              </w:rPr>
              <w:t>59</w:t>
            </w:r>
          </w:p>
        </w:tc>
      </w:tr>
      <w:tr w:rsidR="00CD17DF" w:rsidRPr="004550C4" w:rsidTr="00CD17DF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411" w:rsidRPr="004550C4" w:rsidRDefault="0054373E" w:rsidP="004550C4">
            <w:pPr>
              <w:rPr>
                <w:shd w:val="clear" w:color="auto" w:fill="FFFFFF"/>
              </w:rPr>
            </w:pPr>
            <w:r w:rsidRPr="004550C4">
              <w:t>РН</w:t>
            </w:r>
            <w:r w:rsidR="004550C4" w:rsidRPr="004550C4">
              <w:t>-11</w:t>
            </w:r>
          </w:p>
          <w:p w:rsidR="00787411" w:rsidRPr="004550C4" w:rsidRDefault="00787411" w:rsidP="00CD17DF">
            <w:pPr>
              <w:rPr>
                <w:shd w:val="clear" w:color="auto" w:fill="FFFFFF"/>
              </w:rPr>
            </w:pPr>
          </w:p>
          <w:p w:rsidR="00CD17DF" w:rsidRPr="004550C4" w:rsidRDefault="00CD17DF" w:rsidP="00CD17DF">
            <w:pPr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2B722D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4550C4">
              <w:rPr>
                <w:b/>
              </w:rPr>
              <w:t>Термінологічний апарат, концептуальні та методологічні основи логістики.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4550C4" w:rsidRDefault="004550C4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550C4">
              <w:rPr>
                <w:rFonts w:eastAsia="Times New Roman"/>
                <w:b/>
                <w:bCs/>
                <w:lang w:eastAsia="uk-UA"/>
              </w:rPr>
              <w:t>25</w:t>
            </w:r>
          </w:p>
        </w:tc>
      </w:tr>
      <w:tr w:rsidR="00CD17DF" w:rsidRPr="004550C4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4550C4" w:rsidRDefault="00CD17DF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2B722D" w:rsidP="006D007B">
            <w:pPr>
              <w:rPr>
                <w:rFonts w:eastAsia="Times New Roman"/>
                <w:lang w:eastAsia="uk-UA"/>
              </w:rPr>
            </w:pPr>
            <w:r w:rsidRPr="004550C4">
              <w:t>Логістика як інструмент ринкової економіки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4550C4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4550C4" w:rsidRDefault="00CD17DF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2B722D" w:rsidP="006D007B">
            <w:pPr>
              <w:rPr>
                <w:rFonts w:eastAsia="Times New Roman"/>
                <w:lang w:eastAsia="uk-UA"/>
              </w:rPr>
            </w:pPr>
            <w:r w:rsidRPr="004550C4">
              <w:t>Технологічні процеси та керування матеріальними потоками у логістиці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4550C4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4550C4" w:rsidRDefault="00CD17DF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2B722D" w:rsidP="006D007B">
            <w:pPr>
              <w:rPr>
                <w:rFonts w:eastAsia="Times New Roman"/>
                <w:lang w:eastAsia="uk-UA"/>
              </w:rPr>
            </w:pPr>
            <w:r w:rsidRPr="004550C4">
              <w:t>Технологічні процеси та керування матеріальними потоками у логістиці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9C2F90" w:rsidRPr="004550C4" w:rsidTr="00CD17DF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2F90" w:rsidRPr="004550C4" w:rsidRDefault="009C2F90" w:rsidP="004550C4">
            <w:pPr>
              <w:rPr>
                <w:shd w:val="clear" w:color="auto" w:fill="FFFFFF"/>
              </w:rPr>
            </w:pPr>
            <w:r w:rsidRPr="004550C4">
              <w:t>РН</w:t>
            </w:r>
            <w:r w:rsidR="004550C4" w:rsidRPr="004550C4">
              <w:t>-15</w:t>
            </w:r>
          </w:p>
          <w:p w:rsidR="009C2F90" w:rsidRPr="004550C4" w:rsidRDefault="009C2F90" w:rsidP="0054373E">
            <w:pPr>
              <w:rPr>
                <w:shd w:val="clear" w:color="auto" w:fill="FFFFFF"/>
              </w:rPr>
            </w:pPr>
          </w:p>
          <w:p w:rsidR="009C2F90" w:rsidRPr="004550C4" w:rsidRDefault="009C2F90" w:rsidP="00CD17DF">
            <w:pPr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90" w:rsidRPr="004550C4" w:rsidRDefault="009C2F90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4550C4">
              <w:rPr>
                <w:b/>
              </w:rPr>
              <w:t>Логістичний підхід до управління матеріальними потоками у сферах виробництва та обігу.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90" w:rsidRPr="004550C4" w:rsidRDefault="004550C4" w:rsidP="00CD17DF">
            <w:pPr>
              <w:jc w:val="center"/>
              <w:rPr>
                <w:rFonts w:eastAsia="Times New Roman"/>
                <w:lang w:eastAsia="uk-UA"/>
              </w:rPr>
            </w:pPr>
            <w:r w:rsidRPr="004550C4">
              <w:rPr>
                <w:rFonts w:eastAsia="Times New Roman"/>
                <w:b/>
                <w:bCs/>
                <w:lang w:eastAsia="uk-UA"/>
              </w:rPr>
              <w:t>15</w:t>
            </w:r>
          </w:p>
          <w:p w:rsidR="009C2F90" w:rsidRPr="004550C4" w:rsidRDefault="009C2F90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9C2F90" w:rsidRPr="004550C4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0" w:rsidRPr="004550C4" w:rsidRDefault="009C2F90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90" w:rsidRPr="004550C4" w:rsidRDefault="009C2F90" w:rsidP="00B447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ru-RU" w:eastAsia="uk-UA"/>
              </w:rPr>
            </w:pPr>
            <w:r w:rsidRPr="004550C4">
              <w:t>Закупівельна логістика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90" w:rsidRPr="004550C4" w:rsidRDefault="009C2F90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9C2F90" w:rsidRPr="004550C4" w:rsidTr="00AE308E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90" w:rsidRPr="004550C4" w:rsidRDefault="009C2F90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90" w:rsidRPr="004550C4" w:rsidRDefault="009C2F90" w:rsidP="00B4477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0C4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Виробнича логістика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90" w:rsidRPr="004550C4" w:rsidRDefault="009C2F90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9C2F90" w:rsidRPr="004550C4" w:rsidTr="00C1300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0" w:rsidRPr="004550C4" w:rsidRDefault="009C2F90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90" w:rsidRPr="004550C4" w:rsidRDefault="009C2F90" w:rsidP="006D007B">
            <w:pPr>
              <w:rPr>
                <w:rFonts w:eastAsia="Times New Roman"/>
                <w:b/>
                <w:lang w:eastAsia="uk-UA"/>
              </w:rPr>
            </w:pPr>
            <w:r w:rsidRPr="004550C4">
              <w:rPr>
                <w:color w:val="212121"/>
                <w:shd w:val="clear" w:color="auto" w:fill="FFFFFF"/>
              </w:rPr>
              <w:t>Логістика розподілення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90" w:rsidRPr="004550C4" w:rsidRDefault="009C2F90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4550C4" w:rsidRPr="004550C4" w:rsidTr="00836628">
        <w:trPr>
          <w:trHeight w:val="300"/>
        </w:trPr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0C4" w:rsidRPr="004550C4" w:rsidRDefault="004550C4" w:rsidP="006D007B">
            <w:pPr>
              <w:rPr>
                <w:rFonts w:eastAsia="Times New Roman"/>
                <w:lang w:eastAsia="uk-UA"/>
              </w:rPr>
            </w:pPr>
            <w:r w:rsidRPr="004550C4">
              <w:rPr>
                <w:rFonts w:eastAsia="Times New Roman"/>
                <w:lang w:eastAsia="uk-UA"/>
              </w:rPr>
              <w:t>РН-17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0C4" w:rsidRPr="004550C4" w:rsidRDefault="004550C4" w:rsidP="006D007B">
            <w:pPr>
              <w:rPr>
                <w:color w:val="212121"/>
                <w:shd w:val="clear" w:color="auto" w:fill="FFFFFF"/>
              </w:rPr>
            </w:pPr>
            <w:r w:rsidRPr="004550C4">
              <w:rPr>
                <w:color w:val="212121"/>
                <w:shd w:val="clear" w:color="auto" w:fill="FFFFFF"/>
              </w:rPr>
              <w:t>Транспортна логістика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0C4" w:rsidRPr="004550C4" w:rsidRDefault="004550C4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4550C4" w:rsidRPr="004550C4" w:rsidTr="00836628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0C4" w:rsidRPr="004550C4" w:rsidRDefault="004550C4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0C4" w:rsidRPr="004550C4" w:rsidRDefault="004550C4" w:rsidP="006D007B">
            <w:pPr>
              <w:rPr>
                <w:color w:val="212121"/>
                <w:shd w:val="clear" w:color="auto" w:fill="FFFFFF"/>
              </w:rPr>
            </w:pPr>
            <w:r w:rsidRPr="004550C4">
              <w:rPr>
                <w:color w:val="212121"/>
                <w:shd w:val="clear" w:color="auto" w:fill="FFFFFF"/>
              </w:rPr>
              <w:t>Інформаційна логістика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0C4" w:rsidRPr="004550C4" w:rsidRDefault="004550C4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4550C4" w:rsidRPr="004550C4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4" w:rsidRPr="004550C4" w:rsidRDefault="004550C4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0C4" w:rsidRPr="004550C4" w:rsidRDefault="004550C4" w:rsidP="006D007B">
            <w:pPr>
              <w:rPr>
                <w:color w:val="212121"/>
                <w:shd w:val="clear" w:color="auto" w:fill="FFFFFF"/>
              </w:rPr>
            </w:pPr>
            <w:r w:rsidRPr="004550C4">
              <w:rPr>
                <w:color w:val="212121"/>
                <w:shd w:val="clear" w:color="auto" w:fill="FFFFFF"/>
              </w:rPr>
              <w:t>Логістичний сервіс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0C4" w:rsidRPr="004550C4" w:rsidRDefault="004550C4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4550C4" w:rsidTr="00CD17DF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73E" w:rsidRPr="004550C4" w:rsidRDefault="00787411" w:rsidP="0054373E">
            <w:pPr>
              <w:rPr>
                <w:shd w:val="clear" w:color="auto" w:fill="FFFFFF"/>
              </w:rPr>
            </w:pPr>
            <w:r w:rsidRPr="004550C4">
              <w:t>РН</w:t>
            </w:r>
            <w:r w:rsidR="004550C4" w:rsidRPr="004550C4">
              <w:t>-</w:t>
            </w:r>
            <w:r w:rsidRPr="004550C4">
              <w:t>17</w:t>
            </w:r>
          </w:p>
          <w:p w:rsidR="00CD17DF" w:rsidRPr="004550C4" w:rsidRDefault="00CD17DF" w:rsidP="00787411">
            <w:pPr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2B722D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4550C4">
              <w:rPr>
                <w:b/>
                <w:color w:val="000000"/>
              </w:rPr>
              <w:t>Запаси та склади у логістиці.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9C2F90" w:rsidP="004550C4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550C4">
              <w:rPr>
                <w:rFonts w:eastAsia="Times New Roman"/>
                <w:b/>
                <w:bCs/>
                <w:lang w:eastAsia="uk-UA"/>
              </w:rPr>
              <w:t>1</w:t>
            </w:r>
            <w:r w:rsidR="004550C4" w:rsidRPr="004550C4">
              <w:rPr>
                <w:rFonts w:eastAsia="Times New Roman"/>
                <w:b/>
                <w:bCs/>
                <w:lang w:eastAsia="uk-UA"/>
              </w:rPr>
              <w:t>9</w:t>
            </w:r>
          </w:p>
        </w:tc>
      </w:tr>
      <w:tr w:rsidR="00CD17DF" w:rsidRPr="004550C4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4550C4" w:rsidRDefault="00CD17DF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2B722D" w:rsidP="00B44778">
            <w:pPr>
              <w:rPr>
                <w:rFonts w:eastAsia="Times New Roman"/>
                <w:lang w:eastAsia="uk-UA"/>
              </w:rPr>
            </w:pPr>
            <w:r w:rsidRPr="004550C4">
              <w:rPr>
                <w:shd w:val="clear" w:color="auto" w:fill="FFFFFF"/>
              </w:rPr>
              <w:t>Логістика запасів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4550C4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709CD" w:rsidRPr="004550C4" w:rsidTr="00CD17DF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CD" w:rsidRPr="004550C4" w:rsidRDefault="00C709CD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4550C4" w:rsidRDefault="002B722D" w:rsidP="00B44778">
            <w:pPr>
              <w:rPr>
                <w:shd w:val="clear" w:color="auto" w:fill="FFFFFF"/>
              </w:rPr>
            </w:pPr>
            <w:r w:rsidRPr="004550C4">
              <w:rPr>
                <w:shd w:val="clear" w:color="auto" w:fill="FFFFFF"/>
              </w:rPr>
              <w:t>Логістика складування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CD" w:rsidRPr="004550C4" w:rsidRDefault="00C709CD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F679D9" w:rsidRPr="004550C4" w:rsidTr="001431D6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Pr="004550C4" w:rsidRDefault="00F679D9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9" w:rsidRPr="004550C4" w:rsidRDefault="00F679D9" w:rsidP="00AE308E">
            <w:pPr>
              <w:jc w:val="center"/>
              <w:rPr>
                <w:rFonts w:eastAsia="Times New Roman"/>
                <w:lang w:eastAsia="uk-UA"/>
              </w:rPr>
            </w:pPr>
            <w:r w:rsidRPr="004550C4">
              <w:rPr>
                <w:rFonts w:eastAsia="Times New Roman"/>
                <w:b/>
                <w:bCs/>
                <w:lang w:eastAsia="uk-UA"/>
              </w:rPr>
              <w:t>Практичні заняття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4550C4" w:rsidP="00AE308E">
            <w:pPr>
              <w:jc w:val="center"/>
              <w:rPr>
                <w:b/>
                <w:bCs/>
              </w:rPr>
            </w:pPr>
            <w:r w:rsidRPr="004550C4">
              <w:rPr>
                <w:b/>
                <w:bCs/>
              </w:rPr>
              <w:t>80</w:t>
            </w:r>
          </w:p>
        </w:tc>
      </w:tr>
      <w:tr w:rsidR="00F679D9" w:rsidRPr="004550C4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Pr="004550C4" w:rsidRDefault="004550C4" w:rsidP="006D007B">
            <w:r w:rsidRPr="004550C4">
              <w:t>РН-24</w:t>
            </w:r>
          </w:p>
          <w:p w:rsidR="001D291F" w:rsidRPr="004550C4" w:rsidRDefault="001D291F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331F19" w:rsidP="00AE308E">
            <w:pPr>
              <w:rPr>
                <w:rFonts w:eastAsia="Times New Roman"/>
                <w:lang w:eastAsia="uk-UA"/>
              </w:rPr>
            </w:pPr>
            <w:r w:rsidRPr="004550C4">
              <w:t>Термінологічний апарат, концептуал</w:t>
            </w:r>
            <w:r w:rsidR="00783695" w:rsidRPr="004550C4">
              <w:t>ьні та методологічні основи логі</w:t>
            </w:r>
            <w:r w:rsidRPr="004550C4">
              <w:t>стики.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4550C4" w:rsidP="009C2F90">
            <w:pPr>
              <w:jc w:val="center"/>
            </w:pPr>
            <w:r w:rsidRPr="004550C4">
              <w:t>15</w:t>
            </w:r>
          </w:p>
        </w:tc>
      </w:tr>
      <w:tr w:rsidR="00F679D9" w:rsidRPr="004550C4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Pr="004550C4" w:rsidRDefault="004550C4" w:rsidP="00787411">
            <w:r w:rsidRPr="004550C4">
              <w:t>РН-15</w:t>
            </w:r>
          </w:p>
          <w:p w:rsidR="001D291F" w:rsidRPr="004550C4" w:rsidRDefault="001D291F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331F19" w:rsidP="00AE308E">
            <w:pPr>
              <w:jc w:val="both"/>
              <w:rPr>
                <w:rFonts w:eastAsia="Times New Roman"/>
                <w:lang w:eastAsia="uk-UA"/>
              </w:rPr>
            </w:pPr>
            <w:r w:rsidRPr="004550C4">
              <w:t>Логістика як інструмент ринкової економіки.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4550C4" w:rsidP="00FC043A">
            <w:pPr>
              <w:jc w:val="center"/>
            </w:pPr>
            <w:r w:rsidRPr="004550C4">
              <w:t>10</w:t>
            </w:r>
          </w:p>
        </w:tc>
      </w:tr>
      <w:tr w:rsidR="00F679D9" w:rsidRPr="004550C4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Pr="004550C4" w:rsidRDefault="00A34128" w:rsidP="00787411">
            <w:r w:rsidRPr="004550C4">
              <w:t>РН</w:t>
            </w:r>
            <w:r w:rsidR="004550C4" w:rsidRPr="004550C4">
              <w:t>-25</w:t>
            </w:r>
          </w:p>
          <w:p w:rsidR="00F679D9" w:rsidRPr="004550C4" w:rsidRDefault="00F679D9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331F19" w:rsidP="00AE308E">
            <w:pPr>
              <w:rPr>
                <w:rFonts w:eastAsia="Times New Roman"/>
                <w:lang w:eastAsia="uk-UA"/>
              </w:rPr>
            </w:pPr>
            <w:r w:rsidRPr="004550C4">
              <w:t>Технологічні процеси та керування матеріальними потоками у логістиці.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9C2F90" w:rsidP="00FC043A">
            <w:pPr>
              <w:jc w:val="center"/>
            </w:pPr>
            <w:r w:rsidRPr="004550C4">
              <w:t>10</w:t>
            </w:r>
          </w:p>
        </w:tc>
      </w:tr>
      <w:tr w:rsidR="00F679D9" w:rsidRPr="004550C4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Pr="004550C4" w:rsidRDefault="00787411" w:rsidP="00787411">
            <w:r w:rsidRPr="004550C4">
              <w:t>РН</w:t>
            </w:r>
            <w:r w:rsidR="004550C4" w:rsidRPr="004550C4">
              <w:t>-1</w:t>
            </w:r>
            <w:r w:rsidRPr="004550C4">
              <w:t>7</w:t>
            </w:r>
          </w:p>
          <w:p w:rsidR="001D291F" w:rsidRPr="004550C4" w:rsidRDefault="001D291F" w:rsidP="006D007B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331F19" w:rsidP="00AE308E">
            <w:pPr>
              <w:rPr>
                <w:rFonts w:eastAsia="Times New Roman"/>
                <w:lang w:eastAsia="uk-UA"/>
              </w:rPr>
            </w:pPr>
            <w:r w:rsidRPr="004550C4">
              <w:t>Логістичні системи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4550C4" w:rsidRDefault="00787411" w:rsidP="00FC043A">
            <w:pPr>
              <w:jc w:val="center"/>
            </w:pPr>
            <w:r w:rsidRPr="004550C4">
              <w:t>5</w:t>
            </w:r>
          </w:p>
        </w:tc>
      </w:tr>
      <w:tr w:rsidR="00935D4F" w:rsidRPr="004550C4" w:rsidTr="00AE308E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Pr="004550C4" w:rsidRDefault="00787411" w:rsidP="00787411">
            <w:r w:rsidRPr="004550C4">
              <w:t>РН</w:t>
            </w:r>
            <w:r w:rsidR="004550C4" w:rsidRPr="004550C4">
              <w:t>-25</w:t>
            </w:r>
          </w:p>
          <w:p w:rsidR="00935D4F" w:rsidRPr="004550C4" w:rsidRDefault="00935D4F" w:rsidP="006D007B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4F" w:rsidRPr="004550C4" w:rsidRDefault="00331F19" w:rsidP="00935D4F">
            <w:pPr>
              <w:rPr>
                <w:color w:val="000000"/>
              </w:rPr>
            </w:pPr>
            <w:r w:rsidRPr="004550C4">
              <w:t>Логістичний підхід до управління матеріальними потоками у сферах виробництва та обігу.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4F" w:rsidRPr="004550C4" w:rsidRDefault="00787411" w:rsidP="00FC043A">
            <w:pPr>
              <w:jc w:val="center"/>
            </w:pPr>
            <w:r w:rsidRPr="004550C4">
              <w:t>5</w:t>
            </w:r>
          </w:p>
        </w:tc>
      </w:tr>
      <w:tr w:rsidR="00935D4F" w:rsidRPr="004550C4" w:rsidTr="00787411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Pr="004550C4" w:rsidRDefault="00787411" w:rsidP="00787411">
            <w:r w:rsidRPr="004550C4">
              <w:t>РН1</w:t>
            </w:r>
            <w:r w:rsidR="00A34128" w:rsidRPr="004550C4">
              <w:t>7</w:t>
            </w:r>
          </w:p>
          <w:p w:rsidR="00935D4F" w:rsidRPr="004550C4" w:rsidRDefault="00935D4F" w:rsidP="006D007B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4F" w:rsidRPr="004550C4" w:rsidRDefault="00331F19" w:rsidP="00AE308E">
            <w:r w:rsidRPr="004550C4">
              <w:t>Закупівельна логістика. Вирішення завдань.</w:t>
            </w:r>
          </w:p>
          <w:p w:rsidR="00331F19" w:rsidRPr="004550C4" w:rsidRDefault="00331F19" w:rsidP="00AE308E">
            <w:pPr>
              <w:rPr>
                <w:color w:val="000000"/>
              </w:rPr>
            </w:pPr>
            <w:r w:rsidRPr="004550C4">
              <w:t>Транспортна логістика. Вирішення завдань.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4F" w:rsidRPr="004550C4" w:rsidRDefault="009C2F90" w:rsidP="00FC043A">
            <w:pPr>
              <w:jc w:val="center"/>
            </w:pPr>
            <w:r w:rsidRPr="004550C4">
              <w:t>10</w:t>
            </w:r>
          </w:p>
        </w:tc>
      </w:tr>
      <w:tr w:rsidR="00331F19" w:rsidRPr="004550C4" w:rsidTr="00787411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9" w:rsidRPr="004550C4" w:rsidRDefault="00A34128" w:rsidP="00787411">
            <w:r w:rsidRPr="004550C4">
              <w:t>РН</w:t>
            </w:r>
            <w:r w:rsidR="004550C4" w:rsidRPr="004550C4">
              <w:t>-1</w:t>
            </w:r>
            <w:r w:rsidRPr="004550C4"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19" w:rsidRPr="004550C4" w:rsidRDefault="00331F19" w:rsidP="00AE308E">
            <w:r w:rsidRPr="004550C4">
              <w:t>Логістика запасів. Вирішення завдань.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19" w:rsidRPr="004550C4" w:rsidRDefault="009C2F90" w:rsidP="00FC043A">
            <w:pPr>
              <w:jc w:val="center"/>
            </w:pPr>
            <w:r w:rsidRPr="004550C4">
              <w:t>10</w:t>
            </w:r>
          </w:p>
        </w:tc>
      </w:tr>
      <w:tr w:rsidR="00331F19" w:rsidRPr="009D3530" w:rsidTr="00787411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9" w:rsidRPr="004550C4" w:rsidRDefault="00A34128" w:rsidP="004550C4">
            <w:r w:rsidRPr="004550C4">
              <w:t>РН</w:t>
            </w:r>
            <w:r w:rsidR="004550C4" w:rsidRPr="004550C4">
              <w:t>-</w:t>
            </w:r>
            <w:r w:rsidRPr="004550C4">
              <w:t>1</w:t>
            </w:r>
            <w:r w:rsidR="004550C4" w:rsidRPr="004550C4"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19" w:rsidRPr="004550C4" w:rsidRDefault="00331F19" w:rsidP="00AE308E">
            <w:r w:rsidRPr="004550C4">
              <w:t>Логістика складування. Вирішення завдань.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19" w:rsidRDefault="009C2F90" w:rsidP="009C2F90">
            <w:pPr>
              <w:jc w:val="center"/>
            </w:pPr>
            <w:r w:rsidRPr="004550C4">
              <w:t>15</w:t>
            </w:r>
          </w:p>
        </w:tc>
      </w:tr>
    </w:tbl>
    <w:p w:rsidR="006D007B" w:rsidRDefault="006D007B" w:rsidP="006D007B"/>
    <w:p w:rsidR="00E811BF" w:rsidRPr="004A0405" w:rsidRDefault="00E811BF" w:rsidP="00964881">
      <w:pPr>
        <w:rPr>
          <w:sz w:val="2"/>
          <w:szCs w:val="2"/>
        </w:rPr>
      </w:pPr>
    </w:p>
    <w:p w:rsidR="00E811BF" w:rsidRDefault="00E811BF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0" w:name="_Toc523035526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6"/>
      <w:r>
        <w:rPr>
          <w:sz w:val="28"/>
          <w:szCs w:val="28"/>
        </w:rPr>
        <w:t>ОЦІНЮВАННЯ РЕЗУЛЬТАТІВ НАВЧАННЯ</w:t>
      </w:r>
      <w:bookmarkEnd w:id="10"/>
    </w:p>
    <w:p w:rsidR="00E811BF" w:rsidRPr="00C66A98" w:rsidRDefault="00E811BF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університету</w:t>
      </w:r>
      <w:r w:rsidRPr="00C66A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E811BF" w:rsidRPr="00C66A98" w:rsidRDefault="00E811BF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компетентностей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E811BF" w:rsidRPr="008920E3" w:rsidRDefault="00E811BF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1" w:name="_Toc523035527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1"/>
    </w:p>
    <w:p w:rsidR="00E811BF" w:rsidRDefault="00E811BF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конвертаційною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здобувачів вищої освіти різних закладів.</w:t>
      </w:r>
    </w:p>
    <w:p w:rsidR="00E811BF" w:rsidRPr="00F74369" w:rsidRDefault="00E811BF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E811BF" w:rsidRPr="00984C5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984C5D" w:rsidRDefault="00E811BF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984C5D" w:rsidRDefault="00E811BF" w:rsidP="00274A96">
            <w:pPr>
              <w:autoSpaceDE w:val="0"/>
              <w:snapToGrid w:val="0"/>
              <w:jc w:val="center"/>
              <w:rPr>
                <w:b/>
              </w:rPr>
            </w:pPr>
            <w:r w:rsidRPr="00984C5D">
              <w:rPr>
                <w:b/>
              </w:rPr>
              <w:t>Конвертаці</w:t>
            </w:r>
            <w:r>
              <w:rPr>
                <w:b/>
              </w:rPr>
              <w:t>йна</w:t>
            </w:r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75…89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:rsidR="00E811BF" w:rsidRDefault="00E811BF" w:rsidP="00553261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</w:t>
      </w:r>
      <w:r w:rsidRPr="0024301F">
        <w:rPr>
          <w:sz w:val="28"/>
          <w:szCs w:val="28"/>
        </w:rPr>
        <w:lastRenderedPageBreak/>
        <w:t>академічною заборгованістю, що підлягає ліквідації відповідно до Положення про організацію освітнього процесу</w:t>
      </w:r>
      <w:r>
        <w:rPr>
          <w:sz w:val="28"/>
          <w:szCs w:val="28"/>
        </w:rPr>
        <w:t xml:space="preserve"> НТУ «ДП».</w:t>
      </w:r>
    </w:p>
    <w:p w:rsidR="00E811BF" w:rsidRDefault="00E811BF" w:rsidP="0014044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2" w:name="_Toc523035528"/>
      <w:r>
        <w:rPr>
          <w:sz w:val="28"/>
          <w:szCs w:val="28"/>
        </w:rPr>
        <w:t>6.2 Засоби та процедури</w:t>
      </w:r>
      <w:bookmarkEnd w:id="12"/>
    </w:p>
    <w:p w:rsidR="00E811BF" w:rsidRDefault="00E811BF" w:rsidP="00F43CA5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>ості студента за вимогами НРК до 8-го кваліфікаційного рівня під час демонстрації регламентованих робочою програмою результатів навчання.</w:t>
      </w:r>
    </w:p>
    <w:p w:rsidR="00E811BF" w:rsidRPr="00FF51AE" w:rsidRDefault="00E811BF" w:rsidP="004446AF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787411" w:rsidRDefault="00787411" w:rsidP="009C2004">
      <w:pPr>
        <w:widowControl w:val="0"/>
        <w:suppressLineNumbers/>
        <w:suppressAutoHyphens/>
        <w:spacing w:before="120" w:after="240"/>
        <w:jc w:val="center"/>
        <w:rPr>
          <w:b/>
          <w:i/>
        </w:rPr>
      </w:pPr>
    </w:p>
    <w:p w:rsidR="00E811BF" w:rsidRPr="009C2004" w:rsidRDefault="00E811BF" w:rsidP="009C2004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860"/>
        <w:gridCol w:w="2109"/>
        <w:gridCol w:w="1609"/>
        <w:gridCol w:w="2821"/>
      </w:tblGrid>
      <w:tr w:rsidR="00E811BF" w:rsidRPr="00984C5D" w:rsidTr="00B011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524D35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524D3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Default="00E811BF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EA6A44">
              <w:t>виконання ККР під час екзамену за бажанням студента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E811BF" w:rsidRPr="00865C0D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3" w:name="_Hlk501707960"/>
      <w:bookmarkStart w:id="14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E811BF" w:rsidRPr="00865C0D" w:rsidRDefault="00E811BF" w:rsidP="001A087A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E811BF" w:rsidRPr="00865C0D" w:rsidRDefault="00E811BF" w:rsidP="001A087A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5" w:name="_Hlk501708007"/>
      <w:bookmarkEnd w:id="13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4"/>
    <w:p w:rsidR="00E811BF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lastRenderedPageBreak/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E811BF" w:rsidRPr="000512EA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E811BF" w:rsidRPr="00865C0D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E811BF" w:rsidRDefault="00E811BF" w:rsidP="004A382A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5"/>
    </w:p>
    <w:p w:rsidR="00E811BF" w:rsidRPr="00964881" w:rsidRDefault="00E811BF" w:rsidP="0096488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6" w:name="_Toc523035529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6"/>
    </w:p>
    <w:p w:rsidR="00E811BF" w:rsidRPr="0032312C" w:rsidRDefault="00E811BF" w:rsidP="0032312C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E811BF" w:rsidRPr="00810D0F" w:rsidRDefault="00E811BF" w:rsidP="0023500E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 xml:space="preserve">в якості </w:t>
      </w:r>
      <w:proofErr w:type="spellStart"/>
      <w:r w:rsidRPr="00810D0F">
        <w:rPr>
          <w:bCs/>
          <w:kern w:val="28"/>
          <w:sz w:val="28"/>
          <w:szCs w:val="28"/>
          <w:lang w:val="uk-UA"/>
        </w:rPr>
        <w:t>критерія</w:t>
      </w:r>
      <w:proofErr w:type="spellEnd"/>
      <w:r w:rsidRPr="00810D0F">
        <w:rPr>
          <w:bCs/>
          <w:kern w:val="28"/>
          <w:sz w:val="28"/>
          <w:szCs w:val="28"/>
          <w:lang w:val="uk-UA"/>
        </w:rPr>
        <w:t xml:space="preserve">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E811BF" w:rsidRPr="00810D0F" w:rsidRDefault="00E811BF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E811BF" w:rsidRPr="00C078CC" w:rsidRDefault="00E811BF" w:rsidP="0023500E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E811BF" w:rsidRDefault="00E811BF" w:rsidP="0023500E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</w:t>
      </w:r>
      <w:proofErr w:type="spellStart"/>
      <w:r w:rsidRPr="002C06C3">
        <w:rPr>
          <w:b w:val="0"/>
          <w:bCs/>
          <w:sz w:val="28"/>
          <w:szCs w:val="28"/>
        </w:rPr>
        <w:t>експертно</w:t>
      </w:r>
      <w:proofErr w:type="spellEnd"/>
      <w:r w:rsidRPr="002C06C3">
        <w:rPr>
          <w:b w:val="0"/>
          <w:bCs/>
          <w:sz w:val="28"/>
          <w:szCs w:val="28"/>
        </w:rPr>
        <w:t xml:space="preserve">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>до рівня компетентностей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E811BF" w:rsidRDefault="00E811BF" w:rsidP="00275199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bCs/>
          <w:sz w:val="28"/>
          <w:szCs w:val="28"/>
          <w:lang w:val="uk-UA"/>
        </w:rPr>
        <w:t>компетентністні</w:t>
      </w:r>
      <w:proofErr w:type="spellEnd"/>
      <w:r w:rsidRPr="00C66A98"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="00E811BF" w:rsidRDefault="00E811BF" w:rsidP="001C121E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Загальні критерії досягнення результатів навчання </w:t>
      </w:r>
    </w:p>
    <w:p w:rsidR="00E811BF" w:rsidRPr="001A6E5D" w:rsidRDefault="00E811BF" w:rsidP="001B2ED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для </w:t>
      </w:r>
      <w:r>
        <w:rPr>
          <w:b/>
          <w:i/>
          <w:color w:val="000000"/>
        </w:rPr>
        <w:t>8</w:t>
      </w:r>
      <w:r w:rsidRPr="001A6E5D">
        <w:rPr>
          <w:b/>
          <w:i/>
          <w:color w:val="000000"/>
        </w:rPr>
        <w:t>-го кваліфікаційного рівня за НРК</w:t>
      </w:r>
    </w:p>
    <w:p w:rsidR="00E811BF" w:rsidRPr="001A6E5D" w:rsidRDefault="00E811BF" w:rsidP="00275199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1A6E5D">
        <w:rPr>
          <w:b/>
          <w:color w:val="000000"/>
        </w:rPr>
        <w:t>Інтегральна компетентність</w:t>
      </w:r>
      <w:r w:rsidRPr="001A6E5D">
        <w:rPr>
          <w:color w:val="000000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6008"/>
        <w:gridCol w:w="1327"/>
      </w:tblGrid>
      <w:tr w:rsidR="00E811BF" w:rsidRPr="001A6E5D" w:rsidTr="00B01134">
        <w:trPr>
          <w:tblHeader/>
        </w:trPr>
        <w:tc>
          <w:tcPr>
            <w:tcW w:w="1278" w:type="pct"/>
            <w:vAlign w:val="center"/>
          </w:tcPr>
          <w:p w:rsidR="00E811BF" w:rsidRPr="001A6E5D" w:rsidRDefault="00E811BF" w:rsidP="000E5B22">
            <w:pPr>
              <w:ind w:right="-16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Показник</w:t>
            </w:r>
          </w:p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оцінки 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0E5B22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Знання</w:t>
            </w:r>
            <w:r w:rsidRPr="001A6E5D">
              <w:rPr>
                <w:b/>
                <w:color w:val="000000"/>
              </w:rPr>
              <w:t xml:space="preserve"> </w:t>
            </w:r>
          </w:p>
        </w:tc>
      </w:tr>
      <w:tr w:rsidR="00E811BF" w:rsidRPr="001A6E5D" w:rsidTr="00B01134">
        <w:trPr>
          <w:trHeight w:val="280"/>
        </w:trPr>
        <w:tc>
          <w:tcPr>
            <w:tcW w:w="1278" w:type="pct"/>
            <w:vMerge w:val="restart"/>
          </w:tcPr>
          <w:p w:rsidR="00E811BF" w:rsidRPr="00BD34A3" w:rsidRDefault="00E811BF" w:rsidP="009779FB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 xml:space="preserve">спеціалізовані концептуальні знання, набуті у процесі навчання та/або професійної </w:t>
            </w:r>
            <w:r w:rsidRPr="00BD34A3">
              <w:rPr>
                <w:color w:val="000000"/>
              </w:rPr>
              <w:lastRenderedPageBreak/>
              <w:t>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:rsidR="00E811BF" w:rsidRPr="00BD34A3" w:rsidRDefault="00E811BF" w:rsidP="009779FB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>критичне осмислення проблем у навчанні та /або професійній діяльності та на межі предметних галузей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Відповідь відмінна – правильна, обґрунтована, осмислена.</w:t>
            </w:r>
          </w:p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містить </w:t>
            </w:r>
            <w:proofErr w:type="spellStart"/>
            <w:r w:rsidRPr="001A6E5D">
              <w:rPr>
                <w:color w:val="000000"/>
              </w:rPr>
              <w:t>негрубі</w:t>
            </w:r>
            <w:proofErr w:type="spellEnd"/>
            <w:r w:rsidRPr="001A6E5D">
              <w:rPr>
                <w:color w:val="000000"/>
              </w:rPr>
              <w:t xml:space="preserve"> помилки або описки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504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Уміння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провадження дослідницької та/або інноваційної діяльності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формулювати гіпотези;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провадити інноваційну </w:t>
            </w:r>
            <w:proofErr w:type="spellStart"/>
            <w:r w:rsidRPr="001A6E5D">
              <w:rPr>
                <w:color w:val="000000"/>
              </w:rPr>
              <w:t>діяльность</w:t>
            </w:r>
            <w:proofErr w:type="spellEnd"/>
            <w:r w:rsidRPr="001A6E5D">
              <w:rPr>
                <w:color w:val="000000"/>
              </w:rPr>
              <w:t>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 з </w:t>
            </w:r>
            <w:proofErr w:type="spellStart"/>
            <w:r w:rsidRPr="001A6E5D">
              <w:rPr>
                <w:color w:val="000000"/>
              </w:rPr>
              <w:t>негрубими</w:t>
            </w:r>
            <w:proofErr w:type="spellEnd"/>
            <w:r w:rsidRPr="001A6E5D">
              <w:rPr>
                <w:color w:val="000000"/>
              </w:rPr>
              <w:t xml:space="preserve"> помилками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>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7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Комунікація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зрозуміле і недвозначне донесення власних висновків, а також </w:t>
            </w:r>
            <w:r w:rsidRPr="001A6E5D">
              <w:rPr>
                <w:color w:val="000000"/>
              </w:rPr>
              <w:lastRenderedPageBreak/>
              <w:t>знань та пояснень, що їх обґрунтовують, до фахівців і нефахівців, зокрема до осіб, які навчаються;</w:t>
            </w:r>
          </w:p>
          <w:p w:rsidR="00E811BF" w:rsidRPr="001A6E5D" w:rsidRDefault="00E811BF" w:rsidP="009779FB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Зрозумілість відповіді (доповіді). Мова: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ясна;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точна;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виразна;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лаконічна.</w:t>
            </w:r>
          </w:p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1A6E5D">
              <w:rPr>
                <w:color w:val="000000"/>
              </w:rPr>
              <w:t>відстоюваним</w:t>
            </w:r>
            <w:proofErr w:type="spellEnd"/>
            <w:r w:rsidRPr="001A6E5D">
              <w:rPr>
                <w:color w:val="000000"/>
              </w:rPr>
              <w:t xml:space="preserve"> положенням;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здатність робити висновки та формулювати пропозиції;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19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Відмінне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>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 w:rsidRPr="001A6E5D">
              <w:t>стресовитривалість</w:t>
            </w:r>
            <w:proofErr w:type="spellEnd"/>
            <w:r w:rsidRPr="001A6E5D">
              <w:t xml:space="preserve">; 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 xml:space="preserve">саморегуляція; 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 xml:space="preserve">високий </w:t>
            </w:r>
            <w:r w:rsidRPr="001A6E5D">
              <w:t>рівень особистого ставлення до справи;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lastRenderedPageBreak/>
              <w:t>володіння всіма видами навчальної діяльності;</w:t>
            </w:r>
          </w:p>
          <w:p w:rsidR="00E811BF" w:rsidRPr="0047502B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 xml:space="preserve">належний рівень сформованості </w:t>
            </w:r>
            <w:proofErr w:type="spellStart"/>
            <w:r w:rsidRPr="001A6E5D">
              <w:t>загальнонавчальних</w:t>
            </w:r>
            <w:proofErr w:type="spellEnd"/>
            <w:r w:rsidRPr="001A6E5D">
              <w:t xml:space="preserve"> умінь і навичок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Упевнене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 xml:space="preserve"> автономності та відповідальності з незначними хибами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rPr>
          <w:trHeight w:val="435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Добре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 xml:space="preserve">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538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Добре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 xml:space="preserve">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16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 xml:space="preserve">Добре володіння </w:t>
            </w:r>
            <w:proofErr w:type="spellStart"/>
            <w:r w:rsidRPr="00BD34A3">
              <w:rPr>
                <w:color w:val="000000"/>
              </w:rPr>
              <w:t>компетенціями</w:t>
            </w:r>
            <w:proofErr w:type="spellEnd"/>
            <w:r w:rsidRPr="00BD34A3">
              <w:rPr>
                <w:color w:val="000000"/>
              </w:rPr>
              <w:t xml:space="preserve">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 xml:space="preserve">Задовільне володіння </w:t>
            </w:r>
            <w:proofErr w:type="spellStart"/>
            <w:r w:rsidRPr="00BD34A3">
              <w:rPr>
                <w:color w:val="000000"/>
                <w:lang w:val="uk-UA"/>
              </w:rPr>
              <w:t>компетенціями</w:t>
            </w:r>
            <w:proofErr w:type="spellEnd"/>
            <w:r w:rsidRPr="00BD34A3">
              <w:rPr>
                <w:color w:val="000000"/>
                <w:lang w:val="uk-UA"/>
              </w:rPr>
              <w:t xml:space="preserve">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 xml:space="preserve">Задовільне володіння </w:t>
            </w:r>
            <w:proofErr w:type="spellStart"/>
            <w:r w:rsidRPr="00BD34A3">
              <w:rPr>
                <w:color w:val="000000"/>
                <w:lang w:val="uk-UA"/>
              </w:rPr>
              <w:t>компетенціями</w:t>
            </w:r>
            <w:proofErr w:type="spellEnd"/>
            <w:r w:rsidRPr="00BD34A3">
              <w:rPr>
                <w:color w:val="000000"/>
                <w:lang w:val="uk-UA"/>
              </w:rPr>
              <w:t xml:space="preserve">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 xml:space="preserve">Задовільне володіння </w:t>
            </w:r>
            <w:proofErr w:type="spellStart"/>
            <w:r w:rsidRPr="00BD34A3">
              <w:rPr>
                <w:color w:val="000000"/>
              </w:rPr>
              <w:t>компетенціями</w:t>
            </w:r>
            <w:proofErr w:type="spellEnd"/>
            <w:r w:rsidRPr="00BD34A3">
              <w:rPr>
                <w:color w:val="000000"/>
              </w:rPr>
              <w:t xml:space="preserve">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19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p w:rsidR="00E811BF" w:rsidRPr="004A0405" w:rsidRDefault="00E811BF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7" w:name="_Hlk498191233"/>
      <w:bookmarkStart w:id="18" w:name="_Toc523035530"/>
      <w:bookmarkEnd w:id="7"/>
      <w:bookmarkEnd w:id="17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18"/>
    </w:p>
    <w:p w:rsidR="00E811BF" w:rsidRDefault="00E811BF" w:rsidP="00234B6B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E811BF" w:rsidRPr="000D03FA" w:rsidRDefault="00E811BF" w:rsidP="004A0405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Дистанційна платформа </w:t>
      </w:r>
      <w:r>
        <w:rPr>
          <w:bCs/>
          <w:color w:val="000000"/>
          <w:sz w:val="28"/>
          <w:szCs w:val="28"/>
          <w:lang w:val="en-US"/>
        </w:rPr>
        <w:t>MOODL</w:t>
      </w:r>
      <w:r w:rsidRPr="000D03FA">
        <w:rPr>
          <w:bCs/>
          <w:color w:val="000000"/>
          <w:sz w:val="28"/>
          <w:szCs w:val="28"/>
        </w:rPr>
        <w:t>.</w:t>
      </w:r>
    </w:p>
    <w:p w:rsidR="00E811BF" w:rsidRPr="00BD08A8" w:rsidRDefault="00E811BF" w:rsidP="001B2ED6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9" w:name="_Toc523035531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19"/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Довідник користувача ЄКТС [Електронний ресурс]. URL: </w:t>
      </w:r>
      <w:hyperlink r:id="rId8" w:history="1">
        <w:r w:rsidRPr="00E50CED">
          <w:rPr>
            <w:sz w:val="28"/>
            <w:szCs w:val="28"/>
          </w:rPr>
          <w:t>http: //</w:t>
        </w:r>
        <w:proofErr w:type="spellStart"/>
        <w:r w:rsidRPr="00E50CED">
          <w:rPr>
            <w:sz w:val="28"/>
            <w:szCs w:val="28"/>
          </w:rPr>
          <w:t>mdu.in.ua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Ucheb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dovidnik</w:t>
        </w:r>
        <w:proofErr w:type="spellEnd"/>
        <w:r w:rsidRPr="00E50CED">
          <w:rPr>
            <w:sz w:val="28"/>
            <w:szCs w:val="28"/>
          </w:rPr>
          <w:t xml:space="preserve">_ </w:t>
        </w:r>
        <w:proofErr w:type="spellStart"/>
        <w:r w:rsidRPr="00E50CED">
          <w:rPr>
            <w:sz w:val="28"/>
            <w:szCs w:val="28"/>
          </w:rPr>
          <w:t>koristuvacha</w:t>
        </w:r>
        <w:proofErr w:type="spellEnd"/>
        <w:r w:rsidRPr="00E50CED">
          <w:rPr>
            <w:sz w:val="28"/>
            <w:szCs w:val="28"/>
          </w:rPr>
          <w:t xml:space="preserve">_ </w:t>
        </w:r>
        <w:proofErr w:type="spellStart"/>
        <w:r w:rsidRPr="00E50CED">
          <w:rPr>
            <w:sz w:val="28"/>
            <w:szCs w:val="28"/>
          </w:rPr>
          <w:t>ekts.pdf</w:t>
        </w:r>
        <w:proofErr w:type="spellEnd"/>
      </w:hyperlink>
      <w:r w:rsidRPr="00E50CED">
        <w:rPr>
          <w:sz w:val="28"/>
          <w:szCs w:val="28"/>
        </w:rPr>
        <w:t xml:space="preserve"> (дата звернення: 04.11.2017).</w:t>
      </w:r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Закон України «Про вищу освіту» [Електронний ресурс]. URL: </w:t>
      </w:r>
      <w:hyperlink r:id="rId9" w:history="1">
        <w:r w:rsidRPr="00E50CED">
          <w:rPr>
            <w:sz w:val="28"/>
            <w:szCs w:val="28"/>
          </w:rPr>
          <w:t>http://zakon2.rada.gov.ua</w:t>
        </w:r>
      </w:hyperlink>
      <w:r w:rsidRPr="00E50CED">
        <w:rPr>
          <w:sz w:val="28"/>
          <w:szCs w:val="28"/>
        </w:rPr>
        <w:t xml:space="preserve"> /</w:t>
      </w:r>
      <w:proofErr w:type="spellStart"/>
      <w:r w:rsidRPr="00E50CED">
        <w:rPr>
          <w:sz w:val="28"/>
          <w:szCs w:val="28"/>
        </w:rPr>
        <w:t>laws</w:t>
      </w:r>
      <w:proofErr w:type="spellEnd"/>
      <w:r w:rsidRPr="00E50CED">
        <w:rPr>
          <w:sz w:val="28"/>
          <w:szCs w:val="28"/>
        </w:rPr>
        <w:t>/</w:t>
      </w:r>
      <w:proofErr w:type="spellStart"/>
      <w:r w:rsidRPr="00E50CED">
        <w:rPr>
          <w:sz w:val="28"/>
          <w:szCs w:val="28"/>
        </w:rPr>
        <w:t>show</w:t>
      </w:r>
      <w:proofErr w:type="spellEnd"/>
      <w:r w:rsidRPr="00E50CED">
        <w:rPr>
          <w:sz w:val="28"/>
          <w:szCs w:val="28"/>
        </w:rPr>
        <w:t>/1556-18 (дата звернення: 04.11.2017).</w:t>
      </w:r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Закон України «Про освіту» [Електронний ресурс]. URL: </w:t>
      </w:r>
      <w:hyperlink r:id="rId10" w:history="1">
        <w:r w:rsidRPr="00E50CED">
          <w:rPr>
            <w:sz w:val="28"/>
            <w:szCs w:val="28"/>
          </w:rPr>
          <w:t xml:space="preserve">http://zakon3.rada.gov.ua/ </w:t>
        </w:r>
        <w:proofErr w:type="spellStart"/>
        <w:r w:rsidRPr="00E50CED">
          <w:rPr>
            <w:sz w:val="28"/>
            <w:szCs w:val="28"/>
          </w:rPr>
          <w:t>laws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show</w:t>
        </w:r>
        <w:proofErr w:type="spellEnd"/>
        <w:r w:rsidRPr="00E50CED">
          <w:rPr>
            <w:sz w:val="28"/>
            <w:szCs w:val="28"/>
          </w:rPr>
          <w:t>/2145-19</w:t>
        </w:r>
      </w:hyperlink>
      <w:r w:rsidRPr="00E50CED">
        <w:rPr>
          <w:sz w:val="28"/>
          <w:szCs w:val="28"/>
        </w:rPr>
        <w:t xml:space="preserve"> (дата звернення: 04.11.2017).</w:t>
      </w:r>
    </w:p>
    <w:p w:rsidR="00E811BF" w:rsidRPr="00A9628F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color w:val="000000"/>
          <w:sz w:val="28"/>
          <w:szCs w:val="28"/>
        </w:rPr>
      </w:pPr>
      <w:r w:rsidRPr="00E50CED">
        <w:rPr>
          <w:sz w:val="28"/>
          <w:szCs w:val="28"/>
        </w:rPr>
        <w:t xml:space="preserve">Національна рамка кваліфікацій. </w:t>
      </w:r>
      <w:hyperlink r:id="rId11" w:history="1">
        <w:r w:rsidRPr="00A9628F">
          <w:rPr>
            <w:rStyle w:val="a9"/>
            <w:b w:val="0"/>
            <w:color w:val="000000"/>
            <w:sz w:val="28"/>
            <w:szCs w:val="28"/>
          </w:rPr>
          <w:t>http://zakon3.rada.gov.ua/laws/</w:t>
        </w:r>
      </w:hyperlink>
      <w:r w:rsidRPr="00A9628F">
        <w:rPr>
          <w:b/>
          <w:color w:val="000000"/>
          <w:sz w:val="28"/>
          <w:szCs w:val="28"/>
        </w:rPr>
        <w:t xml:space="preserve"> </w:t>
      </w:r>
      <w:proofErr w:type="spellStart"/>
      <w:r w:rsidRPr="00A9628F">
        <w:rPr>
          <w:color w:val="000000"/>
          <w:sz w:val="28"/>
          <w:szCs w:val="28"/>
        </w:rPr>
        <w:t>show</w:t>
      </w:r>
      <w:proofErr w:type="spellEnd"/>
      <w:r w:rsidRPr="00A9628F">
        <w:rPr>
          <w:color w:val="000000"/>
          <w:sz w:val="28"/>
          <w:szCs w:val="28"/>
        </w:rPr>
        <w:t>/1341-2011-п.</w:t>
      </w:r>
    </w:p>
    <w:p w:rsidR="00E811BF" w:rsidRPr="00467DC3" w:rsidRDefault="00E811BF" w:rsidP="00496006">
      <w:pPr>
        <w:pStyle w:val="ac"/>
        <w:numPr>
          <w:ilvl w:val="0"/>
          <w:numId w:val="16"/>
        </w:numPr>
        <w:tabs>
          <w:tab w:val="left" w:pos="852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E662D0">
        <w:rPr>
          <w:sz w:val="28"/>
          <w:szCs w:val="28"/>
          <w:lang w:val="uk-UA"/>
        </w:rPr>
        <w:t xml:space="preserve">Постанова Кабінету Міністрів України від 30 грудня 2015 р. № 1187 «Ліцензійні умови провадження освітньої діяльності закладів освіти» (в редакції постанови Кабінету Міністрів України від 10 травня 2018 р. </w:t>
      </w:r>
      <w:r>
        <w:rPr>
          <w:sz w:val="28"/>
          <w:szCs w:val="28"/>
          <w:lang w:val="uk-UA"/>
        </w:rPr>
        <w:t>№</w:t>
      </w:r>
      <w:r w:rsidRPr="00E662D0">
        <w:rPr>
          <w:sz w:val="28"/>
          <w:szCs w:val="28"/>
          <w:lang w:val="uk-UA"/>
        </w:rPr>
        <w:t xml:space="preserve"> 347) </w:t>
      </w:r>
      <w:r w:rsidRPr="00467DC3">
        <w:rPr>
          <w:sz w:val="28"/>
          <w:szCs w:val="28"/>
          <w:lang w:val="uk-UA"/>
        </w:rPr>
        <w:t xml:space="preserve">[Електронний </w:t>
      </w:r>
      <w:r w:rsidRPr="00467DC3">
        <w:rPr>
          <w:color w:val="000000"/>
          <w:sz w:val="28"/>
          <w:szCs w:val="28"/>
          <w:lang w:val="uk-UA"/>
        </w:rPr>
        <w:t xml:space="preserve">ресурс]. </w:t>
      </w:r>
      <w:r w:rsidRPr="00467DC3">
        <w:rPr>
          <w:color w:val="000000"/>
          <w:sz w:val="28"/>
          <w:szCs w:val="28"/>
        </w:rPr>
        <w:t>URL</w:t>
      </w:r>
      <w:r w:rsidRPr="00467DC3">
        <w:rPr>
          <w:color w:val="000000"/>
          <w:sz w:val="28"/>
          <w:szCs w:val="28"/>
          <w:lang w:val="uk-UA"/>
        </w:rPr>
        <w:t xml:space="preserve">: </w:t>
      </w:r>
      <w:r w:rsidRPr="00496006">
        <w:rPr>
          <w:rStyle w:val="a9"/>
          <w:b w:val="0"/>
          <w:color w:val="000000"/>
          <w:sz w:val="28"/>
          <w:szCs w:val="28"/>
        </w:rPr>
        <w:t>http://zakon5.rada.gov.ua/laws/show/347-2018-п</w:t>
      </w:r>
      <w:r w:rsidRPr="00467DC3">
        <w:rPr>
          <w:sz w:val="28"/>
          <w:szCs w:val="28"/>
          <w:lang w:val="uk-UA"/>
        </w:rPr>
        <w:t xml:space="preserve"> (дата звернення: 04.08.2018).</w:t>
      </w:r>
    </w:p>
    <w:p w:rsidR="00E811BF" w:rsidRPr="002B722D" w:rsidRDefault="00E811BF" w:rsidP="002B722D">
      <w:pPr>
        <w:numPr>
          <w:ilvl w:val="0"/>
          <w:numId w:val="16"/>
        </w:numPr>
        <w:tabs>
          <w:tab w:val="left" w:pos="852"/>
          <w:tab w:val="left" w:pos="993"/>
        </w:tabs>
        <w:ind w:left="0" w:firstLine="567"/>
        <w:jc w:val="both"/>
        <w:rPr>
          <w:color w:val="000000"/>
          <w:sz w:val="28"/>
          <w:szCs w:val="28"/>
        </w:rPr>
        <w:sectPr w:rsidR="00E811BF" w:rsidRPr="002B722D" w:rsidSect="00E50E08">
          <w:headerReference w:type="even" r:id="rId12"/>
          <w:headerReference w:type="default" r:id="rId13"/>
          <w:footerReference w:type="defaul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662D0">
        <w:rPr>
          <w:color w:val="000000"/>
          <w:sz w:val="28"/>
          <w:szCs w:val="28"/>
        </w:rPr>
        <w:t>Стандарти і рекомендації забезпечення якості на європейському освітньому просторі. URL:</w:t>
      </w:r>
      <w:r w:rsidRPr="00E662D0">
        <w:rPr>
          <w:b/>
          <w:color w:val="000000"/>
          <w:sz w:val="28"/>
          <w:szCs w:val="28"/>
        </w:rPr>
        <w:t xml:space="preserve"> </w:t>
      </w:r>
      <w:hyperlink r:id="rId15" w:history="1">
        <w:r w:rsidRPr="00E662D0">
          <w:rPr>
            <w:rStyle w:val="a9"/>
            <w:b w:val="0"/>
            <w:color w:val="000000"/>
            <w:sz w:val="28"/>
            <w:szCs w:val="28"/>
          </w:rPr>
          <w:t xml:space="preserve">http://www.britishcouncil.org.ua/sites/default/files/ </w:t>
        </w:r>
        <w:proofErr w:type="spellStart"/>
        <w:r w:rsidRPr="00E662D0">
          <w:rPr>
            <w:rStyle w:val="a9"/>
            <w:b w:val="0"/>
            <w:color w:val="000000"/>
            <w:sz w:val="28"/>
            <w:szCs w:val="28"/>
          </w:rPr>
          <w:t>standards-and-guidelines_fo</w:t>
        </w:r>
        <w:proofErr w:type="spellEnd"/>
        <w:r w:rsidRPr="00E662D0">
          <w:rPr>
            <w:rStyle w:val="a9"/>
            <w:b w:val="0"/>
            <w:color w:val="000000"/>
            <w:sz w:val="28"/>
            <w:szCs w:val="28"/>
          </w:rPr>
          <w:t>r_qa_in_the_ehea_2015.pdf</w:t>
        </w:r>
      </w:hyperlink>
      <w:r w:rsidRPr="00E662D0">
        <w:rPr>
          <w:rStyle w:val="a9"/>
          <w:b w:val="0"/>
          <w:color w:val="000000"/>
          <w:sz w:val="28"/>
          <w:szCs w:val="28"/>
        </w:rPr>
        <w:t xml:space="preserve"> </w:t>
      </w:r>
      <w:r w:rsidR="00D243E2">
        <w:rPr>
          <w:color w:val="000000"/>
          <w:sz w:val="28"/>
          <w:szCs w:val="28"/>
        </w:rPr>
        <w:t>(дата звернення: 04.11.20</w:t>
      </w:r>
      <w:bookmarkStart w:id="20" w:name="_GoBack"/>
      <w:bookmarkEnd w:id="20"/>
    </w:p>
    <w:p w:rsidR="00E811BF" w:rsidRPr="00257372" w:rsidRDefault="00E811BF" w:rsidP="002B722D">
      <w:pPr>
        <w:suppressLineNumbers/>
        <w:suppressAutoHyphens/>
        <w:rPr>
          <w:bCs/>
          <w:sz w:val="28"/>
          <w:szCs w:val="28"/>
        </w:rPr>
      </w:pPr>
    </w:p>
    <w:sectPr w:rsidR="00E811BF" w:rsidRPr="00257372" w:rsidSect="00E50E0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D0" w:rsidRDefault="00B964D0" w:rsidP="00B95F75">
      <w:r>
        <w:separator/>
      </w:r>
    </w:p>
  </w:endnote>
  <w:endnote w:type="continuationSeparator" w:id="0">
    <w:p w:rsidR="00B964D0" w:rsidRDefault="00B964D0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D8" w:rsidRDefault="006E5ED8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243E2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D0" w:rsidRDefault="00B964D0" w:rsidP="00B95F75">
      <w:r>
        <w:separator/>
      </w:r>
    </w:p>
  </w:footnote>
  <w:footnote w:type="continuationSeparator" w:id="0">
    <w:p w:rsidR="00B964D0" w:rsidRDefault="00B964D0" w:rsidP="00B9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D8" w:rsidRDefault="006E5ED8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E5ED8" w:rsidRDefault="006E5ED8" w:rsidP="0021300A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D8" w:rsidRDefault="006E5ED8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243E2">
      <w:rPr>
        <w:rStyle w:val="af6"/>
        <w:noProof/>
      </w:rPr>
      <w:t>11</w:t>
    </w:r>
    <w:r>
      <w:rPr>
        <w:rStyle w:val="af6"/>
      </w:rPr>
      <w:fldChar w:fldCharType="end"/>
    </w:r>
  </w:p>
  <w:p w:rsidR="006E5ED8" w:rsidRDefault="006E5ED8" w:rsidP="0021300A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pt;height:9pt" o:bullet="t">
        <v:imagedata r:id="rId1" o:title="artBFFB"/>
      </v:shape>
    </w:pict>
  </w:numPicBullet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8877F8"/>
    <w:multiLevelType w:val="hybridMultilevel"/>
    <w:tmpl w:val="8712640A"/>
    <w:lvl w:ilvl="0" w:tplc="66D21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C1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422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E9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C63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30C6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44D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A6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C86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19"/>
  </w:num>
  <w:num w:numId="10">
    <w:abstractNumId w:val="6"/>
  </w:num>
  <w:num w:numId="11">
    <w:abstractNumId w:val="17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  <w:num w:numId="17">
    <w:abstractNumId w:val="18"/>
  </w:num>
  <w:num w:numId="18">
    <w:abstractNumId w:val="0"/>
  </w:num>
  <w:num w:numId="19">
    <w:abstractNumId w:val="3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B"/>
    <w:rsid w:val="0000601A"/>
    <w:rsid w:val="00011B6A"/>
    <w:rsid w:val="00011CB7"/>
    <w:rsid w:val="000176C8"/>
    <w:rsid w:val="0004380B"/>
    <w:rsid w:val="000512EA"/>
    <w:rsid w:val="000567C9"/>
    <w:rsid w:val="00064D43"/>
    <w:rsid w:val="000658DB"/>
    <w:rsid w:val="00082F61"/>
    <w:rsid w:val="000878AC"/>
    <w:rsid w:val="00091888"/>
    <w:rsid w:val="0009529C"/>
    <w:rsid w:val="000A4DEC"/>
    <w:rsid w:val="000B2980"/>
    <w:rsid w:val="000B5575"/>
    <w:rsid w:val="000B5C5A"/>
    <w:rsid w:val="000C5BA8"/>
    <w:rsid w:val="000D03FA"/>
    <w:rsid w:val="000D70FE"/>
    <w:rsid w:val="000E0106"/>
    <w:rsid w:val="000E5B22"/>
    <w:rsid w:val="000E6D01"/>
    <w:rsid w:val="00114176"/>
    <w:rsid w:val="001143C5"/>
    <w:rsid w:val="001258C5"/>
    <w:rsid w:val="001334A0"/>
    <w:rsid w:val="001373CE"/>
    <w:rsid w:val="00140448"/>
    <w:rsid w:val="001431D6"/>
    <w:rsid w:val="001508A1"/>
    <w:rsid w:val="0015674B"/>
    <w:rsid w:val="00160A97"/>
    <w:rsid w:val="001620F7"/>
    <w:rsid w:val="00166E07"/>
    <w:rsid w:val="001672BF"/>
    <w:rsid w:val="00182899"/>
    <w:rsid w:val="001862EE"/>
    <w:rsid w:val="00187E6A"/>
    <w:rsid w:val="001927A4"/>
    <w:rsid w:val="00194586"/>
    <w:rsid w:val="00195ED9"/>
    <w:rsid w:val="00196FFA"/>
    <w:rsid w:val="001A087A"/>
    <w:rsid w:val="001A6E5D"/>
    <w:rsid w:val="001B2ED6"/>
    <w:rsid w:val="001C121E"/>
    <w:rsid w:val="001C7C2F"/>
    <w:rsid w:val="001D291F"/>
    <w:rsid w:val="001D2D5C"/>
    <w:rsid w:val="001D44E4"/>
    <w:rsid w:val="001E1880"/>
    <w:rsid w:val="001E33C4"/>
    <w:rsid w:val="001F06AF"/>
    <w:rsid w:val="001F2F86"/>
    <w:rsid w:val="00205335"/>
    <w:rsid w:val="0021300A"/>
    <w:rsid w:val="002146A0"/>
    <w:rsid w:val="00215C5A"/>
    <w:rsid w:val="00225B42"/>
    <w:rsid w:val="00234B6B"/>
    <w:rsid w:val="0023500E"/>
    <w:rsid w:val="0024257E"/>
    <w:rsid w:val="0024301F"/>
    <w:rsid w:val="00255A2F"/>
    <w:rsid w:val="00255D53"/>
    <w:rsid w:val="00256C40"/>
    <w:rsid w:val="00257372"/>
    <w:rsid w:val="00265939"/>
    <w:rsid w:val="00273451"/>
    <w:rsid w:val="00274A96"/>
    <w:rsid w:val="00275199"/>
    <w:rsid w:val="00286B8D"/>
    <w:rsid w:val="002956A2"/>
    <w:rsid w:val="002B0B64"/>
    <w:rsid w:val="002B722D"/>
    <w:rsid w:val="002C06C3"/>
    <w:rsid w:val="002C3269"/>
    <w:rsid w:val="002C5352"/>
    <w:rsid w:val="002D0D9A"/>
    <w:rsid w:val="002D4B16"/>
    <w:rsid w:val="002F253C"/>
    <w:rsid w:val="00303B86"/>
    <w:rsid w:val="00317445"/>
    <w:rsid w:val="0032312C"/>
    <w:rsid w:val="00327C7A"/>
    <w:rsid w:val="00331F19"/>
    <w:rsid w:val="00344224"/>
    <w:rsid w:val="00352024"/>
    <w:rsid w:val="00354C14"/>
    <w:rsid w:val="0037541A"/>
    <w:rsid w:val="00376BCE"/>
    <w:rsid w:val="00377E82"/>
    <w:rsid w:val="00382574"/>
    <w:rsid w:val="0038764E"/>
    <w:rsid w:val="00393129"/>
    <w:rsid w:val="003954EF"/>
    <w:rsid w:val="003A3B53"/>
    <w:rsid w:val="003A6673"/>
    <w:rsid w:val="003B614E"/>
    <w:rsid w:val="003C0644"/>
    <w:rsid w:val="003C271B"/>
    <w:rsid w:val="003D13A9"/>
    <w:rsid w:val="003D2378"/>
    <w:rsid w:val="003F353E"/>
    <w:rsid w:val="00401F46"/>
    <w:rsid w:val="0040731F"/>
    <w:rsid w:val="00407CCB"/>
    <w:rsid w:val="00421C05"/>
    <w:rsid w:val="00423103"/>
    <w:rsid w:val="004274EA"/>
    <w:rsid w:val="004446AF"/>
    <w:rsid w:val="00453774"/>
    <w:rsid w:val="004550C4"/>
    <w:rsid w:val="00455DAA"/>
    <w:rsid w:val="00467DC3"/>
    <w:rsid w:val="00474E5F"/>
    <w:rsid w:val="0047502B"/>
    <w:rsid w:val="00475E7D"/>
    <w:rsid w:val="004762A7"/>
    <w:rsid w:val="00494E17"/>
    <w:rsid w:val="00496006"/>
    <w:rsid w:val="004A0405"/>
    <w:rsid w:val="004A382A"/>
    <w:rsid w:val="004A622E"/>
    <w:rsid w:val="004C2535"/>
    <w:rsid w:val="004D0E42"/>
    <w:rsid w:val="004D4C31"/>
    <w:rsid w:val="004D6842"/>
    <w:rsid w:val="004E716B"/>
    <w:rsid w:val="004F6FE7"/>
    <w:rsid w:val="00510282"/>
    <w:rsid w:val="00524339"/>
    <w:rsid w:val="00524D35"/>
    <w:rsid w:val="00537C34"/>
    <w:rsid w:val="0054373E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96FFF"/>
    <w:rsid w:val="00597E61"/>
    <w:rsid w:val="005A0C8E"/>
    <w:rsid w:val="005A1EFA"/>
    <w:rsid w:val="005B5148"/>
    <w:rsid w:val="005B5C31"/>
    <w:rsid w:val="005C1A7B"/>
    <w:rsid w:val="005D1DE1"/>
    <w:rsid w:val="005D4B63"/>
    <w:rsid w:val="005D6891"/>
    <w:rsid w:val="005F5A5F"/>
    <w:rsid w:val="005F69DF"/>
    <w:rsid w:val="005F7006"/>
    <w:rsid w:val="00600F76"/>
    <w:rsid w:val="00603901"/>
    <w:rsid w:val="00603DDD"/>
    <w:rsid w:val="00612142"/>
    <w:rsid w:val="00613571"/>
    <w:rsid w:val="0062118B"/>
    <w:rsid w:val="00631D9A"/>
    <w:rsid w:val="006340D5"/>
    <w:rsid w:val="00640AA4"/>
    <w:rsid w:val="00642CDA"/>
    <w:rsid w:val="006517BA"/>
    <w:rsid w:val="00662F85"/>
    <w:rsid w:val="006634CB"/>
    <w:rsid w:val="0066472E"/>
    <w:rsid w:val="0066569C"/>
    <w:rsid w:val="006705FB"/>
    <w:rsid w:val="00677E8B"/>
    <w:rsid w:val="0068094F"/>
    <w:rsid w:val="00682348"/>
    <w:rsid w:val="00683C1B"/>
    <w:rsid w:val="00694129"/>
    <w:rsid w:val="006972C6"/>
    <w:rsid w:val="006A0883"/>
    <w:rsid w:val="006B131E"/>
    <w:rsid w:val="006C360B"/>
    <w:rsid w:val="006C6D73"/>
    <w:rsid w:val="006D007B"/>
    <w:rsid w:val="006E0CAF"/>
    <w:rsid w:val="006E23C2"/>
    <w:rsid w:val="006E5ACF"/>
    <w:rsid w:val="006E5ED8"/>
    <w:rsid w:val="006F0A89"/>
    <w:rsid w:val="006F292E"/>
    <w:rsid w:val="006F79EB"/>
    <w:rsid w:val="0071426D"/>
    <w:rsid w:val="00722E70"/>
    <w:rsid w:val="00727599"/>
    <w:rsid w:val="00740BCC"/>
    <w:rsid w:val="00746F1B"/>
    <w:rsid w:val="007640D6"/>
    <w:rsid w:val="00772DFB"/>
    <w:rsid w:val="00775DE0"/>
    <w:rsid w:val="007802B3"/>
    <w:rsid w:val="00783695"/>
    <w:rsid w:val="00787411"/>
    <w:rsid w:val="007940D1"/>
    <w:rsid w:val="007B0470"/>
    <w:rsid w:val="007C58EC"/>
    <w:rsid w:val="007C62CB"/>
    <w:rsid w:val="007D0B1E"/>
    <w:rsid w:val="007D17DF"/>
    <w:rsid w:val="007F2D4D"/>
    <w:rsid w:val="0080072C"/>
    <w:rsid w:val="008040FF"/>
    <w:rsid w:val="0080545A"/>
    <w:rsid w:val="00805D9A"/>
    <w:rsid w:val="00810D0F"/>
    <w:rsid w:val="00814267"/>
    <w:rsid w:val="00817A62"/>
    <w:rsid w:val="0083494E"/>
    <w:rsid w:val="00835C87"/>
    <w:rsid w:val="00840E39"/>
    <w:rsid w:val="008531BA"/>
    <w:rsid w:val="0085324A"/>
    <w:rsid w:val="00853781"/>
    <w:rsid w:val="00862EBF"/>
    <w:rsid w:val="00863161"/>
    <w:rsid w:val="008634E9"/>
    <w:rsid w:val="008655EC"/>
    <w:rsid w:val="00865C0D"/>
    <w:rsid w:val="00871D44"/>
    <w:rsid w:val="008871FC"/>
    <w:rsid w:val="00891C29"/>
    <w:rsid w:val="008920E3"/>
    <w:rsid w:val="008952BF"/>
    <w:rsid w:val="00895AE8"/>
    <w:rsid w:val="008A666D"/>
    <w:rsid w:val="008B57B7"/>
    <w:rsid w:val="008C0EC0"/>
    <w:rsid w:val="008C3F0F"/>
    <w:rsid w:val="008D05AC"/>
    <w:rsid w:val="008D0C7F"/>
    <w:rsid w:val="008E5FA6"/>
    <w:rsid w:val="008F2496"/>
    <w:rsid w:val="008F5639"/>
    <w:rsid w:val="009005D6"/>
    <w:rsid w:val="00905302"/>
    <w:rsid w:val="00905B7A"/>
    <w:rsid w:val="00916A4D"/>
    <w:rsid w:val="00922C61"/>
    <w:rsid w:val="00922E80"/>
    <w:rsid w:val="00925F22"/>
    <w:rsid w:val="00926D0D"/>
    <w:rsid w:val="00930D3A"/>
    <w:rsid w:val="009350A6"/>
    <w:rsid w:val="00935D4F"/>
    <w:rsid w:val="009572D4"/>
    <w:rsid w:val="00964881"/>
    <w:rsid w:val="009652A1"/>
    <w:rsid w:val="00973144"/>
    <w:rsid w:val="00975658"/>
    <w:rsid w:val="009779FB"/>
    <w:rsid w:val="009827D4"/>
    <w:rsid w:val="00984C5D"/>
    <w:rsid w:val="00991946"/>
    <w:rsid w:val="00992E80"/>
    <w:rsid w:val="0099360B"/>
    <w:rsid w:val="009A2D14"/>
    <w:rsid w:val="009A3C4B"/>
    <w:rsid w:val="009B7E6B"/>
    <w:rsid w:val="009C0094"/>
    <w:rsid w:val="009C2004"/>
    <w:rsid w:val="009C2BA8"/>
    <w:rsid w:val="009C2F90"/>
    <w:rsid w:val="009D1C24"/>
    <w:rsid w:val="009D31BD"/>
    <w:rsid w:val="009D3530"/>
    <w:rsid w:val="009D3B1D"/>
    <w:rsid w:val="009D4E00"/>
    <w:rsid w:val="009E223A"/>
    <w:rsid w:val="009E3CB6"/>
    <w:rsid w:val="009F28BE"/>
    <w:rsid w:val="009F78E1"/>
    <w:rsid w:val="00A00D2C"/>
    <w:rsid w:val="00A02E43"/>
    <w:rsid w:val="00A23A0D"/>
    <w:rsid w:val="00A24FA4"/>
    <w:rsid w:val="00A34128"/>
    <w:rsid w:val="00A35961"/>
    <w:rsid w:val="00A35970"/>
    <w:rsid w:val="00A3612F"/>
    <w:rsid w:val="00A55BA3"/>
    <w:rsid w:val="00A60863"/>
    <w:rsid w:val="00A63728"/>
    <w:rsid w:val="00A702BE"/>
    <w:rsid w:val="00A7483A"/>
    <w:rsid w:val="00A74842"/>
    <w:rsid w:val="00A77D1A"/>
    <w:rsid w:val="00A8303A"/>
    <w:rsid w:val="00A9628F"/>
    <w:rsid w:val="00AA74E0"/>
    <w:rsid w:val="00AC1C20"/>
    <w:rsid w:val="00AD108A"/>
    <w:rsid w:val="00AD1EF6"/>
    <w:rsid w:val="00AD490C"/>
    <w:rsid w:val="00AE308E"/>
    <w:rsid w:val="00AE75ED"/>
    <w:rsid w:val="00AF49F3"/>
    <w:rsid w:val="00AF61B0"/>
    <w:rsid w:val="00AF7EF4"/>
    <w:rsid w:val="00B01134"/>
    <w:rsid w:val="00B13D03"/>
    <w:rsid w:val="00B144FB"/>
    <w:rsid w:val="00B235DC"/>
    <w:rsid w:val="00B31C41"/>
    <w:rsid w:val="00B3542B"/>
    <w:rsid w:val="00B44778"/>
    <w:rsid w:val="00B518EA"/>
    <w:rsid w:val="00B528F1"/>
    <w:rsid w:val="00B53A59"/>
    <w:rsid w:val="00B745EE"/>
    <w:rsid w:val="00B77D7B"/>
    <w:rsid w:val="00B84D85"/>
    <w:rsid w:val="00B901E6"/>
    <w:rsid w:val="00B94CF1"/>
    <w:rsid w:val="00B95F75"/>
    <w:rsid w:val="00B964D0"/>
    <w:rsid w:val="00BB1199"/>
    <w:rsid w:val="00BC0DEC"/>
    <w:rsid w:val="00BC75C4"/>
    <w:rsid w:val="00BD08A8"/>
    <w:rsid w:val="00BD34A3"/>
    <w:rsid w:val="00BD357F"/>
    <w:rsid w:val="00BD4E68"/>
    <w:rsid w:val="00C04469"/>
    <w:rsid w:val="00C078CC"/>
    <w:rsid w:val="00C12689"/>
    <w:rsid w:val="00C1300F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35218"/>
    <w:rsid w:val="00C41E4D"/>
    <w:rsid w:val="00C46F84"/>
    <w:rsid w:val="00C54B62"/>
    <w:rsid w:val="00C54B8D"/>
    <w:rsid w:val="00C553F3"/>
    <w:rsid w:val="00C6227F"/>
    <w:rsid w:val="00C66A98"/>
    <w:rsid w:val="00C67D8D"/>
    <w:rsid w:val="00C709CD"/>
    <w:rsid w:val="00C71521"/>
    <w:rsid w:val="00C71C1B"/>
    <w:rsid w:val="00C72DB5"/>
    <w:rsid w:val="00C76E16"/>
    <w:rsid w:val="00C80B71"/>
    <w:rsid w:val="00C87491"/>
    <w:rsid w:val="00C87F48"/>
    <w:rsid w:val="00C929AA"/>
    <w:rsid w:val="00C9404D"/>
    <w:rsid w:val="00CB0C0A"/>
    <w:rsid w:val="00CB3215"/>
    <w:rsid w:val="00CB4A48"/>
    <w:rsid w:val="00CB6F1A"/>
    <w:rsid w:val="00CC5F6B"/>
    <w:rsid w:val="00CD17DF"/>
    <w:rsid w:val="00CD1C34"/>
    <w:rsid w:val="00CD3D50"/>
    <w:rsid w:val="00CE337A"/>
    <w:rsid w:val="00CE5191"/>
    <w:rsid w:val="00CF15AB"/>
    <w:rsid w:val="00D00412"/>
    <w:rsid w:val="00D00DF4"/>
    <w:rsid w:val="00D0257E"/>
    <w:rsid w:val="00D243E2"/>
    <w:rsid w:val="00D2478A"/>
    <w:rsid w:val="00D27CC3"/>
    <w:rsid w:val="00D31CC0"/>
    <w:rsid w:val="00D42889"/>
    <w:rsid w:val="00D514D6"/>
    <w:rsid w:val="00D541E4"/>
    <w:rsid w:val="00D5614E"/>
    <w:rsid w:val="00D64998"/>
    <w:rsid w:val="00D718DB"/>
    <w:rsid w:val="00D7349E"/>
    <w:rsid w:val="00D857BB"/>
    <w:rsid w:val="00D9453E"/>
    <w:rsid w:val="00D96FCB"/>
    <w:rsid w:val="00D97A1B"/>
    <w:rsid w:val="00DA7443"/>
    <w:rsid w:val="00DB038E"/>
    <w:rsid w:val="00DB6014"/>
    <w:rsid w:val="00DC2337"/>
    <w:rsid w:val="00DD12E3"/>
    <w:rsid w:val="00DD3100"/>
    <w:rsid w:val="00DE06DB"/>
    <w:rsid w:val="00DF5BB8"/>
    <w:rsid w:val="00E07BB3"/>
    <w:rsid w:val="00E16396"/>
    <w:rsid w:val="00E16F2C"/>
    <w:rsid w:val="00E2238A"/>
    <w:rsid w:val="00E22F15"/>
    <w:rsid w:val="00E2555F"/>
    <w:rsid w:val="00E31962"/>
    <w:rsid w:val="00E3277E"/>
    <w:rsid w:val="00E414AB"/>
    <w:rsid w:val="00E44A92"/>
    <w:rsid w:val="00E50CED"/>
    <w:rsid w:val="00E50E08"/>
    <w:rsid w:val="00E56FE0"/>
    <w:rsid w:val="00E6115B"/>
    <w:rsid w:val="00E651D9"/>
    <w:rsid w:val="00E662D0"/>
    <w:rsid w:val="00E67BF4"/>
    <w:rsid w:val="00E70277"/>
    <w:rsid w:val="00E80883"/>
    <w:rsid w:val="00E811BF"/>
    <w:rsid w:val="00E85E50"/>
    <w:rsid w:val="00E95DAE"/>
    <w:rsid w:val="00E97274"/>
    <w:rsid w:val="00E97A4E"/>
    <w:rsid w:val="00EA6A44"/>
    <w:rsid w:val="00EB4D05"/>
    <w:rsid w:val="00EB5FAA"/>
    <w:rsid w:val="00EC51E2"/>
    <w:rsid w:val="00EC6EB9"/>
    <w:rsid w:val="00ED4C0E"/>
    <w:rsid w:val="00F1224C"/>
    <w:rsid w:val="00F25679"/>
    <w:rsid w:val="00F27F28"/>
    <w:rsid w:val="00F35DAD"/>
    <w:rsid w:val="00F36734"/>
    <w:rsid w:val="00F43CA5"/>
    <w:rsid w:val="00F47627"/>
    <w:rsid w:val="00F5254B"/>
    <w:rsid w:val="00F536AC"/>
    <w:rsid w:val="00F55855"/>
    <w:rsid w:val="00F679D9"/>
    <w:rsid w:val="00F702E3"/>
    <w:rsid w:val="00F74369"/>
    <w:rsid w:val="00F76471"/>
    <w:rsid w:val="00F91167"/>
    <w:rsid w:val="00F93807"/>
    <w:rsid w:val="00FA4EF1"/>
    <w:rsid w:val="00FA65FF"/>
    <w:rsid w:val="00FA76C9"/>
    <w:rsid w:val="00FB2944"/>
    <w:rsid w:val="00FB2D8E"/>
    <w:rsid w:val="00FC043A"/>
    <w:rsid w:val="00FC0BA6"/>
    <w:rsid w:val="00FC73F9"/>
    <w:rsid w:val="00FC7576"/>
    <w:rsid w:val="00FD6AC9"/>
    <w:rsid w:val="00FE224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73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ind w:left="720"/>
      <w:contextualSpacing/>
    </w:pPr>
  </w:style>
  <w:style w:type="table" w:styleId="ad">
    <w:name w:val="Table Grid"/>
    <w:basedOn w:val="a1"/>
    <w:rsid w:val="00640A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rsid w:val="000D70FE"/>
    <w:pPr>
      <w:spacing w:after="100"/>
    </w:pPr>
  </w:style>
  <w:style w:type="character" w:customStyle="1" w:styleId="23">
    <w:name w:val="Неразрешенное упоминание2"/>
    <w:basedOn w:val="a0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basedOn w:val="a0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styleId="af6">
    <w:name w:val="page number"/>
    <w:basedOn w:val="a0"/>
    <w:rsid w:val="0021300A"/>
  </w:style>
  <w:style w:type="character" w:styleId="af7">
    <w:name w:val="Strong"/>
    <w:basedOn w:val="a0"/>
    <w:qFormat/>
    <w:locked/>
    <w:rsid w:val="009005D6"/>
    <w:rPr>
      <w:b/>
      <w:bCs/>
    </w:rPr>
  </w:style>
  <w:style w:type="character" w:customStyle="1" w:styleId="apple-converted-space">
    <w:name w:val="apple-converted-space"/>
    <w:basedOn w:val="a0"/>
    <w:rsid w:val="006F292E"/>
  </w:style>
  <w:style w:type="paragraph" w:styleId="HTML">
    <w:name w:val="HTML Preformatted"/>
    <w:basedOn w:val="a"/>
    <w:link w:val="HTML0"/>
    <w:uiPriority w:val="99"/>
    <w:unhideWhenUsed/>
    <w:rsid w:val="00B4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778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73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ind w:left="720"/>
      <w:contextualSpacing/>
    </w:pPr>
  </w:style>
  <w:style w:type="table" w:styleId="ad">
    <w:name w:val="Table Grid"/>
    <w:basedOn w:val="a1"/>
    <w:rsid w:val="00640A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rsid w:val="000D70FE"/>
    <w:pPr>
      <w:spacing w:after="100"/>
    </w:pPr>
  </w:style>
  <w:style w:type="character" w:customStyle="1" w:styleId="23">
    <w:name w:val="Неразрешенное упоминание2"/>
    <w:basedOn w:val="a0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basedOn w:val="a0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styleId="af6">
    <w:name w:val="page number"/>
    <w:basedOn w:val="a0"/>
    <w:rsid w:val="0021300A"/>
  </w:style>
  <w:style w:type="character" w:styleId="af7">
    <w:name w:val="Strong"/>
    <w:basedOn w:val="a0"/>
    <w:qFormat/>
    <w:locked/>
    <w:rsid w:val="009005D6"/>
    <w:rPr>
      <w:b/>
      <w:bCs/>
    </w:rPr>
  </w:style>
  <w:style w:type="character" w:customStyle="1" w:styleId="apple-converted-space">
    <w:name w:val="apple-converted-space"/>
    <w:basedOn w:val="a0"/>
    <w:rsid w:val="006F292E"/>
  </w:style>
  <w:style w:type="paragraph" w:styleId="HTML">
    <w:name w:val="HTML Preformatted"/>
    <w:basedOn w:val="a"/>
    <w:link w:val="HTML0"/>
    <w:uiPriority w:val="99"/>
    <w:unhideWhenUsed/>
    <w:rsid w:val="00B4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77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u.in.ua/Ucheb/dovidnik_%20koristuvacha_%20ekts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tishcouncil.org.ua/sites/default/files/%20standards-and-guidelines_for_qa_in_the_ehea_2015.pdf" TargetMode="External"/><Relationship Id="rId10" Type="http://schemas.openxmlformats.org/officeDocument/2006/relationships/hyperlink" Target="http://zakon3.rada.gov.ua/%20laws/show/2145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13061</Words>
  <Characters>7446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20467</CharactersWithSpaces>
  <SharedDoc>false</SharedDoc>
  <HLinks>
    <vt:vector size="96" baseType="variant">
      <vt:variant>
        <vt:i4>7078003</vt:i4>
      </vt:variant>
      <vt:variant>
        <vt:i4>81</vt:i4>
      </vt:variant>
      <vt:variant>
        <vt:i4>0</vt:i4>
      </vt:variant>
      <vt:variant>
        <vt:i4>5</vt:i4>
      </vt:variant>
      <vt:variant>
        <vt:lpwstr>http://www.britishcouncil.org.ua/sites/default/files/ standards-and-guidelines_for_qa_in_the_ehea_2015.pdf</vt:lpwstr>
      </vt:variant>
      <vt:variant>
        <vt:lpwstr/>
      </vt:variant>
      <vt:variant>
        <vt:i4>2293815</vt:i4>
      </vt:variant>
      <vt:variant>
        <vt:i4>78</vt:i4>
      </vt:variant>
      <vt:variant>
        <vt:i4>0</vt:i4>
      </vt:variant>
      <vt:variant>
        <vt:i4>5</vt:i4>
      </vt:variant>
      <vt:variant>
        <vt:lpwstr>http://zakon3.rada.gov.ua/laws/</vt:lpwstr>
      </vt:variant>
      <vt:variant>
        <vt:lpwstr/>
      </vt:variant>
      <vt:variant>
        <vt:i4>524312</vt:i4>
      </vt:variant>
      <vt:variant>
        <vt:i4>75</vt:i4>
      </vt:variant>
      <vt:variant>
        <vt:i4>0</vt:i4>
      </vt:variant>
      <vt:variant>
        <vt:i4>5</vt:i4>
      </vt:variant>
      <vt:variant>
        <vt:lpwstr>http://zakon3.rada.gov.ua/ laws/show/2145-19</vt:lpwstr>
      </vt:variant>
      <vt:variant>
        <vt:lpwstr/>
      </vt:variant>
      <vt:variant>
        <vt:i4>3211309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</vt:lpwstr>
      </vt:variant>
      <vt:variant>
        <vt:lpwstr/>
      </vt:variant>
      <vt:variant>
        <vt:i4>3670067</vt:i4>
      </vt:variant>
      <vt:variant>
        <vt:i4>69</vt:i4>
      </vt:variant>
      <vt:variant>
        <vt:i4>0</vt:i4>
      </vt:variant>
      <vt:variant>
        <vt:i4>5</vt:i4>
      </vt:variant>
      <vt:variant>
        <vt:lpwstr>http://mdu.in.ua/Ucheb/dovidnik_ koristuvacha_ ekts.pdf</vt:lpwstr>
      </vt:variant>
      <vt:variant>
        <vt:lpwstr/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_Toc523035531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_Toc523035530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_Toc523035529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_Toc523035528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_Toc523035527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_Toc523035526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_Toc523035525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_Toc523035524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_Toc523035523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_Toc523035522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_Toc523035521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Користувач Windows</cp:lastModifiedBy>
  <cp:revision>2</cp:revision>
  <cp:lastPrinted>2019-02-13T11:50:00Z</cp:lastPrinted>
  <dcterms:created xsi:type="dcterms:W3CDTF">2019-06-19T19:22:00Z</dcterms:created>
  <dcterms:modified xsi:type="dcterms:W3CDTF">2019-06-19T19:22:00Z</dcterms:modified>
</cp:coreProperties>
</file>